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4F3970" w14:textId="65968C2C" w:rsidR="00C00C73" w:rsidRDefault="00100D65" w:rsidP="00734638">
      <w:pPr>
        <w:pStyle w:val="Heading1"/>
      </w:pPr>
      <w:bookmarkStart w:id="0" w:name="_Toc196211986"/>
      <w:bookmarkStart w:id="1" w:name="_Toc199865998"/>
      <w:bookmarkStart w:id="2" w:name="_Toc223374419"/>
      <w:bookmarkStart w:id="3" w:name="_Hlk222215820"/>
      <w:r w:rsidRPr="00C00C73">
        <w:t>Electric Vehicle Bi-Directional</w:t>
      </w:r>
      <w:r w:rsidR="00734638">
        <w:t xml:space="preserve"> </w:t>
      </w:r>
      <w:r w:rsidRPr="00C00C73">
        <w:t>Charging Research Study</w:t>
      </w:r>
    </w:p>
    <w:p w14:paraId="4D9D89BA" w14:textId="6DACC004" w:rsidR="007B7AF8" w:rsidRPr="007E76BB" w:rsidRDefault="00DD5A56" w:rsidP="00C00C73">
      <w:pPr>
        <w:pStyle w:val="Title"/>
        <w:rPr>
          <w:sz w:val="24"/>
          <w:szCs w:val="24"/>
        </w:rPr>
      </w:pPr>
      <w:r w:rsidRPr="00C00C73">
        <w:rPr>
          <w:rStyle w:val="Heading2Char"/>
        </w:rPr>
        <w:t xml:space="preserve">Release </w:t>
      </w:r>
      <w:r w:rsidR="0060445C" w:rsidRPr="00C00C73">
        <w:rPr>
          <w:rStyle w:val="Heading2Char"/>
        </w:rPr>
        <w:t>D</w:t>
      </w:r>
      <w:r w:rsidR="00430F68" w:rsidRPr="00C00C73">
        <w:rPr>
          <w:rStyle w:val="Heading2Char"/>
        </w:rPr>
        <w:t>ate</w:t>
      </w:r>
      <w:r w:rsidR="00430F68" w:rsidRPr="009759FF">
        <w:br/>
      </w:r>
      <w:bookmarkEnd w:id="0"/>
      <w:bookmarkEnd w:id="1"/>
      <w:bookmarkEnd w:id="2"/>
      <w:r w:rsidR="007E76BB" w:rsidRPr="007E76BB">
        <w:rPr>
          <w:sz w:val="24"/>
          <w:szCs w:val="22"/>
        </w:rPr>
        <w:t>March 19, 2026</w:t>
      </w:r>
    </w:p>
    <w:p w14:paraId="66D99954" w14:textId="49C99457" w:rsidR="00DD5A56" w:rsidRPr="003E1644" w:rsidRDefault="00100D65" w:rsidP="00750AE9">
      <w:r w:rsidRPr="003E1644">
        <w:rPr>
          <w:noProof/>
        </w:rPr>
        <w:drawing>
          <wp:inline distT="0" distB="0" distL="0" distR="0" wp14:anchorId="594D8248" wp14:editId="2485DA90">
            <wp:extent cx="5080543" cy="3539011"/>
            <wp:effectExtent l="0" t="0" r="6350" b="4445"/>
            <wp:docPr id="1184489779" name="Picture 1" descr="White electric car parked roadside and plugged into a Fermata Energy charging unit, with glowing blue energy lines connecting the car to nearby power transmission towers in a rural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489779" name="Picture 1" descr="White electric car parked roadside and plugged into a Fermata Energy charging unit, with glowing blue energy lines connecting the car to nearby power transmission towers in a rural landscap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0463" cy="3552887"/>
                    </a:xfrm>
                    <a:prstGeom prst="rect">
                      <a:avLst/>
                    </a:prstGeom>
                    <a:noFill/>
                    <a:ln>
                      <a:noFill/>
                    </a:ln>
                  </pic:spPr>
                </pic:pic>
              </a:graphicData>
            </a:graphic>
          </wp:inline>
        </w:drawing>
      </w:r>
    </w:p>
    <w:p w14:paraId="5079C159" w14:textId="77777777" w:rsidR="00645D65" w:rsidRDefault="00DD5A56" w:rsidP="00645D65">
      <w:pPr>
        <w:pStyle w:val="Heading2"/>
        <w:spacing w:after="0"/>
      </w:pPr>
      <w:bookmarkStart w:id="4" w:name="_Toc196211987"/>
      <w:bookmarkStart w:id="5" w:name="_Toc199865999"/>
      <w:r w:rsidRPr="004915BF">
        <w:t xml:space="preserve">Prepared </w:t>
      </w:r>
      <w:r w:rsidR="0060445C" w:rsidRPr="004915BF">
        <w:t>F</w:t>
      </w:r>
      <w:r w:rsidRPr="004915BF">
        <w:t xml:space="preserve">or </w:t>
      </w:r>
    </w:p>
    <w:p w14:paraId="4B4FBCFE" w14:textId="29377B16" w:rsidR="00DD5A56" w:rsidRPr="004915BF" w:rsidRDefault="00DD5A56" w:rsidP="00645D65">
      <w:pPr>
        <w:pStyle w:val="Heading3"/>
        <w:spacing w:before="0" w:after="0"/>
      </w:pPr>
      <w:r w:rsidRPr="004915BF">
        <w:t>Commonwealth Edison Company</w:t>
      </w:r>
      <w:bookmarkEnd w:id="4"/>
      <w:bookmarkEnd w:id="5"/>
      <w:r w:rsidRPr="004915BF">
        <w:t xml:space="preserve"> </w:t>
      </w:r>
    </w:p>
    <w:p w14:paraId="6B7AE8B1" w14:textId="77777777" w:rsidR="00645D65" w:rsidRDefault="00DD5A56" w:rsidP="00645D65">
      <w:pPr>
        <w:pStyle w:val="Heading2"/>
        <w:spacing w:after="0"/>
      </w:pPr>
      <w:bookmarkStart w:id="6" w:name="_Toc196211988"/>
      <w:bookmarkStart w:id="7" w:name="_Toc199866000"/>
      <w:r w:rsidRPr="00FA5290">
        <w:t xml:space="preserve">Prepared </w:t>
      </w:r>
      <w:r w:rsidR="0060445C" w:rsidRPr="00FA5290">
        <w:t>B</w:t>
      </w:r>
      <w:r w:rsidRPr="00FA5290">
        <w:t>y</w:t>
      </w:r>
      <w:bookmarkEnd w:id="6"/>
      <w:bookmarkEnd w:id="7"/>
    </w:p>
    <w:p w14:paraId="6AFCC785" w14:textId="7AA372E0" w:rsidR="00430F68" w:rsidRPr="00645D65" w:rsidRDefault="00100D65" w:rsidP="00645D65">
      <w:pPr>
        <w:pStyle w:val="Heading3"/>
        <w:spacing w:before="0" w:after="0"/>
        <w:sectPr w:rsidR="00430F68" w:rsidRPr="00645D65" w:rsidSect="00380B20">
          <w:headerReference w:type="default" r:id="rId12"/>
          <w:footerReference w:type="default" r:id="rId13"/>
          <w:headerReference w:type="first" r:id="rId14"/>
          <w:footerReference w:type="first" r:id="rId15"/>
          <w:pgSz w:w="12240" w:h="15840"/>
          <w:pgMar w:top="3686" w:right="1440" w:bottom="1080" w:left="1440" w:header="720" w:footer="922" w:gutter="0"/>
          <w:cols w:space="720"/>
          <w:titlePg/>
          <w:docGrid w:linePitch="360"/>
        </w:sectPr>
      </w:pPr>
      <w:r w:rsidRPr="00645D65">
        <w:t>Escalent</w:t>
      </w:r>
    </w:p>
    <w:p w14:paraId="43B9834A" w14:textId="366AC0EB" w:rsidR="00F41100" w:rsidRPr="00D03CC4" w:rsidRDefault="00430F68" w:rsidP="00A539B9">
      <w:pPr>
        <w:pStyle w:val="Heading1"/>
      </w:pPr>
      <w:r w:rsidRPr="00D03CC4">
        <w:lastRenderedPageBreak/>
        <w:t>Acknowledgments</w:t>
      </w:r>
    </w:p>
    <w:p w14:paraId="3A7663FD" w14:textId="6C5E1B43" w:rsidR="007D4797" w:rsidRPr="003E1644" w:rsidRDefault="007D4797" w:rsidP="002D6846">
      <w:pPr>
        <w:spacing w:before="60"/>
        <w:rPr>
          <w:rFonts w:cs="Arial"/>
        </w:rPr>
      </w:pPr>
      <w:r w:rsidRPr="003E1644">
        <w:rPr>
          <w:rFonts w:cs="Arial"/>
        </w:rPr>
        <w:t xml:space="preserve">This project was developed as part of the </w:t>
      </w:r>
      <w:r w:rsidR="00493D87" w:rsidRPr="003E1644">
        <w:rPr>
          <w:rFonts w:cs="Arial"/>
        </w:rPr>
        <w:t>Smart Grid</w:t>
      </w:r>
      <w:r w:rsidRPr="003E1644">
        <w:rPr>
          <w:rFonts w:cs="Arial"/>
        </w:rPr>
        <w:t xml:space="preserve"> </w:t>
      </w:r>
      <w:r w:rsidR="00C451D1" w:rsidRPr="003E1644">
        <w:rPr>
          <w:rFonts w:cs="Arial"/>
        </w:rPr>
        <w:t xml:space="preserve">initiative </w:t>
      </w:r>
      <w:r w:rsidRPr="003E1644">
        <w:rPr>
          <w:rFonts w:cs="Arial"/>
        </w:rPr>
        <w:t xml:space="preserve">within the ComEd </w:t>
      </w:r>
      <w:r w:rsidR="00000BBC" w:rsidRPr="003E1644">
        <w:rPr>
          <w:rFonts w:cs="Arial"/>
        </w:rPr>
        <w:t>Beneficial Electrification R&amp;D</w:t>
      </w:r>
      <w:r w:rsidRPr="003E1644">
        <w:rPr>
          <w:rFonts w:cs="Arial"/>
        </w:rPr>
        <w:t xml:space="preserve"> Program under internal project number </w:t>
      </w:r>
      <w:r w:rsidR="00A820C8" w:rsidRPr="003E1644">
        <w:rPr>
          <w:rFonts w:cs="Arial"/>
        </w:rPr>
        <w:t>BEPILBKUP</w:t>
      </w:r>
      <w:r w:rsidRPr="003E1644">
        <w:rPr>
          <w:rFonts w:cs="Arial"/>
        </w:rPr>
        <w:t>.</w:t>
      </w:r>
      <w:r w:rsidR="00100D65" w:rsidRPr="003E1644">
        <w:rPr>
          <w:rFonts w:cs="Arial"/>
        </w:rPr>
        <w:t xml:space="preserve"> Escalent </w:t>
      </w:r>
      <w:r w:rsidRPr="003E1644">
        <w:rPr>
          <w:rFonts w:cs="Arial"/>
        </w:rPr>
        <w:t xml:space="preserve">produced this report for the </w:t>
      </w:r>
      <w:r w:rsidR="00493D87" w:rsidRPr="003E1644">
        <w:rPr>
          <w:rFonts w:cs="Arial"/>
        </w:rPr>
        <w:t>Smart Grid</w:t>
      </w:r>
      <w:r w:rsidRPr="003E1644">
        <w:rPr>
          <w:rFonts w:cs="Arial"/>
        </w:rPr>
        <w:t xml:space="preserve"> </w:t>
      </w:r>
      <w:r w:rsidR="00DF0854" w:rsidRPr="003E1644">
        <w:rPr>
          <w:rFonts w:cs="Arial"/>
        </w:rPr>
        <w:t>T</w:t>
      </w:r>
      <w:r w:rsidRPr="003E1644">
        <w:rPr>
          <w:rFonts w:cs="Arial"/>
        </w:rPr>
        <w:t xml:space="preserve">eam with overall guidance and management from </w:t>
      </w:r>
      <w:r w:rsidR="00A444DC" w:rsidRPr="003E1644">
        <w:rPr>
          <w:rFonts w:cs="Arial"/>
        </w:rPr>
        <w:t>Simitrio Arellano, Rahul Jha, Akansha Jain, Sri Raghavan Kothandaraman, Querida Ellis, and Courtney Anderson</w:t>
      </w:r>
      <w:r w:rsidR="009759FF" w:rsidRPr="003E1644">
        <w:rPr>
          <w:rFonts w:cs="Arial"/>
        </w:rPr>
        <w:t xml:space="preserve">. </w:t>
      </w:r>
      <w:r w:rsidRPr="003E1644">
        <w:rPr>
          <w:rFonts w:cs="Arial"/>
        </w:rPr>
        <w:t xml:space="preserve">For more information on this project, contact </w:t>
      </w:r>
      <w:hyperlink r:id="rId16" w:history="1">
        <w:r w:rsidR="004C78FF" w:rsidRPr="003E1644">
          <w:rPr>
            <w:rFonts w:cs="Arial"/>
            <w:color w:val="002060"/>
            <w:u w:val="single"/>
          </w:rPr>
          <w:t>BEPilots@ComEd.com</w:t>
        </w:r>
      </w:hyperlink>
      <w:r w:rsidRPr="003E1644">
        <w:rPr>
          <w:rFonts w:cs="Arial"/>
          <w:color w:val="002060"/>
        </w:rPr>
        <w:t>.</w:t>
      </w:r>
    </w:p>
    <w:p w14:paraId="302FBC1F" w14:textId="399B94AE" w:rsidR="00F41100" w:rsidRPr="00A539B9" w:rsidRDefault="00430F68" w:rsidP="00A539B9">
      <w:pPr>
        <w:pStyle w:val="Heading2"/>
      </w:pPr>
      <w:r w:rsidRPr="00CB29C7">
        <w:t>Legal Notice</w:t>
      </w:r>
      <w:bookmarkStart w:id="8" w:name="_Hlk39003473"/>
    </w:p>
    <w:p w14:paraId="38AD2187" w14:textId="5C060D0E" w:rsidR="007D4797" w:rsidRPr="003E1644" w:rsidRDefault="007D4797" w:rsidP="002D6846">
      <w:pPr>
        <w:spacing w:before="60"/>
        <w:rPr>
          <w:rFonts w:cs="Arial"/>
        </w:rPr>
      </w:pPr>
      <w:r w:rsidRPr="003E1644">
        <w:rPr>
          <w:rFonts w:cs="Arial"/>
        </w:rPr>
        <w:t xml:space="preserve">In support of ComEd’s mission as your electric utility company, ComEd engages in numerous research projects focused on improving </w:t>
      </w:r>
      <w:r w:rsidR="009D2AA9" w:rsidRPr="003E1644">
        <w:rPr>
          <w:rFonts w:cs="Arial"/>
        </w:rPr>
        <w:t>beneficial electrification</w:t>
      </w:r>
      <w:r w:rsidRPr="003E1644">
        <w:rPr>
          <w:rFonts w:cs="Arial"/>
        </w:rPr>
        <w:t xml:space="preserve"> opportunities for customers. This report describes one such project. It is posted only for general customer awareness. It is not technical guidance and cannot be copied in full or part or reused in any form or manner. It cannot be relied upon. We make no representation, nor by providing this example do we imply, that its content is correct, accurate, complete, or useful in any manner – including the particular purpose to which it relates.</w:t>
      </w:r>
      <w:r w:rsidRPr="003E1644" w:rsidDel="00A63AF6">
        <w:rPr>
          <w:rFonts w:cs="Arial"/>
        </w:rPr>
        <w:t xml:space="preserve"> </w:t>
      </w:r>
    </w:p>
    <w:p w14:paraId="3C04617C" w14:textId="283EF723" w:rsidR="00430F68" w:rsidRPr="003E1644" w:rsidRDefault="007D4797" w:rsidP="006A6AFB">
      <w:pPr>
        <w:spacing w:before="60"/>
        <w:rPr>
          <w:rFonts w:cs="Arial"/>
        </w:rPr>
        <w:sectPr w:rsidR="00430F68" w:rsidRPr="003E1644" w:rsidSect="00A539B9">
          <w:headerReference w:type="default" r:id="rId17"/>
          <w:footerReference w:type="default" r:id="rId18"/>
          <w:footerReference w:type="first" r:id="rId19"/>
          <w:pgSz w:w="12240" w:h="15840"/>
          <w:pgMar w:top="1987" w:right="1440" w:bottom="1080" w:left="1440" w:header="720" w:footer="29" w:gutter="0"/>
          <w:pgNumType w:start="1"/>
          <w:cols w:space="720"/>
          <w:docGrid w:linePitch="360"/>
        </w:sectPr>
      </w:pPr>
      <w:r w:rsidRPr="003E1644">
        <w:rPr>
          <w:rFonts w:cs="Arial"/>
        </w:rPr>
        <w:t xml:space="preserve">The </w:t>
      </w:r>
      <w:r w:rsidR="00000BBC" w:rsidRPr="003E1644">
        <w:rPr>
          <w:rFonts w:cs="Arial"/>
        </w:rPr>
        <w:t xml:space="preserve">ComEd Beneficial Electrification R&amp;D </w:t>
      </w:r>
      <w:r w:rsidRPr="003E1644">
        <w:rPr>
          <w:rFonts w:cs="Arial"/>
        </w:rPr>
        <w:t>Program is funded in compliance with state law</w:t>
      </w:r>
      <w:bookmarkEnd w:id="8"/>
      <w:r w:rsidR="006A6AFB" w:rsidRPr="003E1644">
        <w:rPr>
          <w:rFonts w:cs="Arial"/>
        </w:rPr>
        <w:t>.</w:t>
      </w:r>
    </w:p>
    <w:p w14:paraId="58EFDE4C" w14:textId="2B6B00CB" w:rsidR="000B12A3" w:rsidRDefault="000B12A3" w:rsidP="006A6AFB">
      <w:pPr>
        <w:pStyle w:val="Heading1"/>
      </w:pPr>
      <w:bookmarkStart w:id="10" w:name="_Toc13571910"/>
      <w:r w:rsidRPr="00C361AE">
        <w:lastRenderedPageBreak/>
        <w:t>Executive Summary</w:t>
      </w:r>
      <w:bookmarkEnd w:id="10"/>
    </w:p>
    <w:p w14:paraId="0FD997B7" w14:textId="77777777" w:rsidR="00C3504C" w:rsidRPr="008C7EAE" w:rsidRDefault="00C3504C" w:rsidP="006A6AFB">
      <w:pPr>
        <w:pStyle w:val="Heading2"/>
        <w:spacing w:before="0" w:after="120"/>
      </w:pPr>
      <w:r w:rsidRPr="00454BAA">
        <w:t>Introduction/Background</w:t>
      </w:r>
    </w:p>
    <w:p w14:paraId="27E692B5" w14:textId="77777777" w:rsidR="00086F92" w:rsidRPr="003E1644" w:rsidRDefault="00F86FC3" w:rsidP="000733DD">
      <w:pPr>
        <w:spacing w:before="60"/>
      </w:pPr>
      <w:r w:rsidRPr="003E1644">
        <w:t xml:space="preserve">As directed by the Illinois Commerce Commission, ComEd undertook a comprehensive research initiative to evaluate customer awareness, understanding, and interest in electric vehicle (EV) bidirectional charging technologies as part of its investigation into Backup Power Capabilities. </w:t>
      </w:r>
      <w:r w:rsidR="00454E23" w:rsidRPr="003E1644">
        <w:t>The project is grounded in the principles of Beneficial Electrification (BE), which promotes replacing fossil fuel use with electricity to leverage Illinois’ increasingly clean grid, and bidirectional charging technologies - commonly referred to as vehicle-to-everything (V2X). V2X enables electric vehicles (EVs) not only to draw power from the grid but also to send stored energy back to homes, buildings, or the grid, supporting energy resilience and grid flexibility</w:t>
      </w:r>
    </w:p>
    <w:p w14:paraId="2BA5B9AC" w14:textId="062A82BF" w:rsidR="00F86FC3" w:rsidRPr="003E1644" w:rsidRDefault="00F86FC3" w:rsidP="000733DD">
      <w:pPr>
        <w:spacing w:before="60"/>
      </w:pPr>
      <w:r w:rsidRPr="003E1644">
        <w:t xml:space="preserve">The primary purpose of the research was to assess customer readiness for </w:t>
      </w:r>
      <w:r w:rsidR="00FD5EBE" w:rsidRPr="003E1644">
        <w:t xml:space="preserve">the </w:t>
      </w:r>
      <w:r w:rsidRPr="003E1644">
        <w:t>adoption of vehicle-to-grid (V2G), vehicle-to-home (V2H), and vehicle-to-building (V2B) technologies, with particular attention to perceived benefits, barriers, and equity considerations. The study also sought to understand how adoption and awareness vary by region, customer segment (residential vs. commercial/industrial), and community type, including low-income (LI), Environmental Justice (EJ), and Restore, Reinvest, Renew (R3) communities.</w:t>
      </w:r>
    </w:p>
    <w:p w14:paraId="251B7D5F" w14:textId="77777777" w:rsidR="00FF1B86" w:rsidRPr="003E1644" w:rsidRDefault="00FF1B86" w:rsidP="000733DD">
      <w:pPr>
        <w:spacing w:before="60"/>
      </w:pPr>
      <w:r w:rsidRPr="003E1644">
        <w:t>The research employed a five-phase, mixed-methods design to comprehensively assess awareness, attitudes, and readiness for adoption of bidirectional EV technologies. The phases included:</w:t>
      </w:r>
    </w:p>
    <w:p w14:paraId="18C4BD47" w14:textId="77777777" w:rsidR="00C3504C" w:rsidRPr="003E1644" w:rsidRDefault="00C3504C" w:rsidP="00C3504C">
      <w:pPr>
        <w:numPr>
          <w:ilvl w:val="0"/>
          <w:numId w:val="2"/>
        </w:numPr>
        <w:spacing w:before="40" w:after="40"/>
        <w:rPr>
          <w:rFonts w:eastAsia="Calibri" w:cs="Arial"/>
        </w:rPr>
      </w:pPr>
      <w:r w:rsidRPr="003E1644">
        <w:rPr>
          <w:rFonts w:ascii="Diodrum Semibold" w:eastAsia="Calibri" w:hAnsi="Diodrum Semibold" w:cs="Arial"/>
        </w:rPr>
        <w:t>Phase 1: Market Intelligence Analysis (Secondary Research)</w:t>
      </w:r>
      <w:r w:rsidRPr="003E1644">
        <w:rPr>
          <w:rFonts w:eastAsia="Calibri" w:cs="Arial"/>
        </w:rPr>
        <w:t xml:space="preserve"> – In-depth review of publicly available data and industry sources to evaluate the current and projected market for V2X technologies, including adoption rates, regional differences, market drivers and barriers, and equity-related challenges affecting low-income (LI), Environmental Justice (EJ), and Restore, Reinvest, Renew (R3) communities.</w:t>
      </w:r>
    </w:p>
    <w:p w14:paraId="4E9E08F6" w14:textId="653D2AD4" w:rsidR="00C3504C" w:rsidRPr="003E1644" w:rsidRDefault="00C3504C" w:rsidP="00C3504C">
      <w:pPr>
        <w:numPr>
          <w:ilvl w:val="0"/>
          <w:numId w:val="2"/>
        </w:numPr>
        <w:spacing w:before="40" w:after="40"/>
        <w:rPr>
          <w:rFonts w:eastAsia="Calibri" w:cs="Arial"/>
        </w:rPr>
      </w:pPr>
      <w:r w:rsidRPr="003E1644">
        <w:rPr>
          <w:rFonts w:ascii="Diodrum Semibold" w:eastAsia="Calibri" w:hAnsi="Diodrum Semibold" w:cs="Arial"/>
        </w:rPr>
        <w:t>Phase 2: Qualitative Stakeholder Interviews</w:t>
      </w:r>
      <w:r w:rsidRPr="003E1644">
        <w:rPr>
          <w:rFonts w:eastAsia="Calibri" w:cs="Arial"/>
        </w:rPr>
        <w:t xml:space="preserve"> – Ten (10), one-hour, web-enabled, in-depth interviews with V2X subject matter experts across industry, policy, and energy sectors to assess the state of technology development, regulatory influences, incentive structures, and anticipated future demand. Stakeholders were selected based on their V2X experience and represented a range of relevant fields within the V2X ecosystem</w:t>
      </w:r>
      <w:r w:rsidR="00D07DEC" w:rsidRPr="003E1644">
        <w:rPr>
          <w:rFonts w:eastAsia="Calibri" w:cs="Arial"/>
        </w:rPr>
        <w:t>.</w:t>
      </w:r>
    </w:p>
    <w:p w14:paraId="1FCA99BD" w14:textId="6C3C225E" w:rsidR="00C3504C" w:rsidRPr="003E1644" w:rsidRDefault="00C3504C" w:rsidP="00C3504C">
      <w:pPr>
        <w:numPr>
          <w:ilvl w:val="0"/>
          <w:numId w:val="2"/>
        </w:numPr>
        <w:spacing w:before="40" w:after="40"/>
        <w:rPr>
          <w:rFonts w:eastAsia="Calibri" w:cs="Arial"/>
        </w:rPr>
      </w:pPr>
      <w:r w:rsidRPr="003E1644">
        <w:rPr>
          <w:rFonts w:ascii="Diodrum Semibold" w:eastAsia="Calibri" w:hAnsi="Diodrum Semibold" w:cs="Arial"/>
        </w:rPr>
        <w:t>Phase 3: National Quantitative Web-Panel Survey</w:t>
      </w:r>
      <w:r w:rsidRPr="003E1644">
        <w:rPr>
          <w:rFonts w:eastAsia="Calibri" w:cs="Arial"/>
        </w:rPr>
        <w:t xml:space="preserve"> – A national online survey of residential EV owners (n=165) and intenders (n=184), commercial and industrial</w:t>
      </w:r>
      <w:r w:rsidR="00EC3EA6" w:rsidRPr="003E1644">
        <w:rPr>
          <w:rFonts w:eastAsia="Calibri" w:cs="Arial"/>
        </w:rPr>
        <w:t xml:space="preserve"> EV owners and intenders who are</w:t>
      </w:r>
      <w:r w:rsidRPr="003E1644">
        <w:rPr>
          <w:rFonts w:eastAsia="Calibri" w:cs="Arial"/>
        </w:rPr>
        <w:t xml:space="preserve"> fleet decision makers (n=127), and targeted LI (n=29), EJ (n=218), and R3 (n=123) audiences to measure awareness, understanding, perceived benefits, barriers, and interest in V2X adoption across regions and segments.</w:t>
      </w:r>
    </w:p>
    <w:p w14:paraId="3A78AF5E" w14:textId="3016F38C" w:rsidR="00C3504C" w:rsidRPr="003E1644" w:rsidRDefault="00C3504C" w:rsidP="00C3504C">
      <w:pPr>
        <w:numPr>
          <w:ilvl w:val="0"/>
          <w:numId w:val="2"/>
        </w:numPr>
        <w:spacing w:before="40" w:after="40"/>
        <w:rPr>
          <w:rFonts w:eastAsia="Calibri" w:cs="Arial"/>
        </w:rPr>
      </w:pPr>
      <w:r w:rsidRPr="003E1644">
        <w:rPr>
          <w:rFonts w:ascii="Diodrum Semibold" w:eastAsia="Calibri" w:hAnsi="Diodrum Semibold" w:cs="Arial"/>
        </w:rPr>
        <w:t>Phase 4: ComEd Customer Qualitative Research</w:t>
      </w:r>
      <w:r w:rsidRPr="003E1644">
        <w:rPr>
          <w:rFonts w:eastAsia="Calibri" w:cs="Arial"/>
        </w:rPr>
        <w:t xml:space="preserve"> – Online residential focus groups and commercial in-depth interviews with ComEd customers to explore attitudes, perceived value, use cases, and concerns related to V2H, V2B, and V2G technologies, supported by standardized educational stimuli. Seven </w:t>
      </w:r>
      <w:r w:rsidR="00EC3EA6" w:rsidRPr="003E1644">
        <w:rPr>
          <w:rFonts w:eastAsia="Calibri" w:cs="Arial"/>
        </w:rPr>
        <w:t xml:space="preserve">(7) </w:t>
      </w:r>
      <w:r w:rsidRPr="003E1644">
        <w:rPr>
          <w:rFonts w:eastAsia="Calibri" w:cs="Arial"/>
        </w:rPr>
        <w:t xml:space="preserve">online focus groups </w:t>
      </w:r>
      <w:r w:rsidR="00793F72" w:rsidRPr="003E1644">
        <w:rPr>
          <w:rFonts w:eastAsia="Calibri" w:cs="Arial"/>
        </w:rPr>
        <w:t xml:space="preserve">were </w:t>
      </w:r>
      <w:r w:rsidRPr="003E1644">
        <w:rPr>
          <w:rFonts w:eastAsia="Calibri" w:cs="Arial"/>
        </w:rPr>
        <w:t xml:space="preserve">conducted across four Residential customer segments (EV Owners, EV Intenders in Single-Family Homes, EV Intenders in Multi-Family Homes, and Select ComEd customers from Low-Income </w:t>
      </w:r>
      <w:r w:rsidRPr="003E1644">
        <w:rPr>
          <w:rFonts w:eastAsia="Calibri" w:cs="Arial"/>
        </w:rPr>
        <w:lastRenderedPageBreak/>
        <w:t>(LI), Environmental Justice (EJ), and Restore, Reinvest, Renew (R3) communities). Additionally, seven</w:t>
      </w:r>
      <w:r w:rsidR="00EC3EA6" w:rsidRPr="003E1644">
        <w:rPr>
          <w:rFonts w:eastAsia="Calibri" w:cs="Arial"/>
        </w:rPr>
        <w:t xml:space="preserve"> (7)</w:t>
      </w:r>
      <w:r w:rsidRPr="003E1644">
        <w:rPr>
          <w:rFonts w:eastAsia="Calibri" w:cs="Arial"/>
        </w:rPr>
        <w:t xml:space="preserve"> one-hour in-depth interviews representing Small businesses, Large businesses, and School districts were conducted among Commercial customers.</w:t>
      </w:r>
    </w:p>
    <w:p w14:paraId="6A6B1DB9" w14:textId="7FDD2A07" w:rsidR="00C3504C" w:rsidRPr="003E1644" w:rsidRDefault="00C3504C" w:rsidP="006A6AFB">
      <w:pPr>
        <w:numPr>
          <w:ilvl w:val="0"/>
          <w:numId w:val="2"/>
        </w:numPr>
        <w:spacing w:before="40" w:after="40"/>
        <w:rPr>
          <w:rFonts w:eastAsia="Calibri" w:cs="Arial"/>
          <w:b/>
          <w:bCs/>
        </w:rPr>
      </w:pPr>
      <w:r w:rsidRPr="003E1644">
        <w:rPr>
          <w:rFonts w:ascii="Diodrum Semibold" w:eastAsia="Calibri" w:hAnsi="Diodrum Semibold" w:cs="Arial"/>
        </w:rPr>
        <w:t>Phase 5: ComEd Customer Quantitative Survey</w:t>
      </w:r>
      <w:r w:rsidRPr="003E1644">
        <w:rPr>
          <w:rFonts w:eastAsia="Calibri" w:cs="Arial"/>
          <w:b/>
          <w:bCs/>
        </w:rPr>
        <w:t xml:space="preserve"> </w:t>
      </w:r>
      <w:r w:rsidRPr="003E1644">
        <w:rPr>
          <w:rFonts w:eastAsia="Calibri" w:cs="Arial"/>
        </w:rPr>
        <w:t xml:space="preserve">– A ComEd-specific online survey of </w:t>
      </w:r>
      <w:r w:rsidR="00EC3EA6" w:rsidRPr="003E1644">
        <w:rPr>
          <w:rFonts w:eastAsia="Calibri" w:cs="Arial"/>
        </w:rPr>
        <w:t xml:space="preserve">general </w:t>
      </w:r>
      <w:r w:rsidRPr="003E1644">
        <w:rPr>
          <w:rFonts w:eastAsia="Calibri" w:cs="Arial"/>
        </w:rPr>
        <w:t>residential (n=621) and commercial (n=275) customers designed to validate earlier findings and evaluate customer response to additional education materials and cost information related to bidirectional charging.</w:t>
      </w:r>
    </w:p>
    <w:p w14:paraId="56F0BD0B" w14:textId="626B4D5D" w:rsidR="00C3504C" w:rsidRPr="003E1644" w:rsidRDefault="00F86FC3" w:rsidP="000733DD">
      <w:pPr>
        <w:spacing w:before="60"/>
      </w:pPr>
      <w:r w:rsidRPr="003E1644">
        <w:t>Overall, the research revealed varying levels of awareness and understanding of bidirectional EV technologies, with interest often driven by backup power, resilience, and cost-savings potential, while adoption remains constrained by cost, technology availability, infrastructure requirements, and regulatory uncertainty. Equity-focused segments face additional barriers related to affordability, housing type, and access to charging infrastructure. Collectively, the findings provide ComEd with actionable insights to inform program design, customer education, and policy strategies that support equitable adoption of bidirectional EV technologies and advance Beneficial Electrification goals.</w:t>
      </w:r>
    </w:p>
    <w:p w14:paraId="50D38A0E" w14:textId="63839385" w:rsidR="0063025A" w:rsidRDefault="0063025A" w:rsidP="00C0160A">
      <w:pPr>
        <w:pStyle w:val="Heading2"/>
        <w:spacing w:before="120" w:after="120"/>
      </w:pPr>
      <w:r>
        <w:t>Key Findings</w:t>
      </w:r>
    </w:p>
    <w:p w14:paraId="2458971B" w14:textId="4722F08D" w:rsidR="00593941" w:rsidRPr="003E1644" w:rsidRDefault="00593941" w:rsidP="00A84DDA">
      <w:pPr>
        <w:spacing w:before="60"/>
        <w:rPr>
          <w:rFonts w:eastAsia="Times New Roman" w:cs="Arial"/>
        </w:rPr>
      </w:pPr>
      <w:r w:rsidRPr="003E1644">
        <w:rPr>
          <w:rFonts w:eastAsia="Times New Roman" w:cs="Arial"/>
        </w:rPr>
        <w:t xml:space="preserve">Across secondary research, stakeholder expert interviews, national surveying, and ComEd-specific qualitative and quantitative work, a consistent story emerges: </w:t>
      </w:r>
      <w:r w:rsidRPr="003E1644">
        <w:rPr>
          <w:rFonts w:ascii="Diodrum Semibold" w:eastAsia="Times New Roman" w:hAnsi="Diodrum Semibold" w:cs="Arial"/>
        </w:rPr>
        <w:t xml:space="preserve">V2X is strategically important and </w:t>
      </w:r>
      <w:r w:rsidR="004009D8" w:rsidRPr="003E1644">
        <w:rPr>
          <w:rFonts w:ascii="Diodrum Semibold" w:eastAsia="Times New Roman" w:hAnsi="Diodrum Semibold" w:cs="Arial"/>
        </w:rPr>
        <w:t xml:space="preserve">may </w:t>
      </w:r>
      <w:r w:rsidRPr="003E1644">
        <w:rPr>
          <w:rFonts w:ascii="Diodrum Semibold" w:eastAsia="Times New Roman" w:hAnsi="Diodrum Semibold" w:cs="Arial"/>
        </w:rPr>
        <w:t>increasingly</w:t>
      </w:r>
      <w:r w:rsidR="004009D8" w:rsidRPr="003E1644">
        <w:rPr>
          <w:rFonts w:ascii="Diodrum Semibold" w:eastAsia="Times New Roman" w:hAnsi="Diodrum Semibold" w:cs="Arial"/>
        </w:rPr>
        <w:t xml:space="preserve"> be</w:t>
      </w:r>
      <w:r w:rsidRPr="003E1644">
        <w:rPr>
          <w:rFonts w:ascii="Diodrum Semibold" w:eastAsia="Times New Roman" w:hAnsi="Diodrum Semibold" w:cs="Arial"/>
        </w:rPr>
        <w:t xml:space="preserve"> “inevitable,” but </w:t>
      </w:r>
      <w:r w:rsidR="00685877" w:rsidRPr="003E1644">
        <w:rPr>
          <w:rFonts w:ascii="Diodrum Semibold" w:eastAsia="Times New Roman" w:hAnsi="Diodrum Semibold" w:cs="Arial"/>
        </w:rPr>
        <w:t xml:space="preserve">it is </w:t>
      </w:r>
      <w:r w:rsidRPr="003E1644">
        <w:rPr>
          <w:rFonts w:ascii="Diodrum Semibold" w:eastAsia="Times New Roman" w:hAnsi="Diodrum Semibold" w:cs="Arial"/>
        </w:rPr>
        <w:t xml:space="preserve">not yet positioned for broad near-term adoption in ComEd’s territory without meaningful cost reduction, clearer standards/interoperability, and </w:t>
      </w:r>
      <w:r w:rsidR="004009D8" w:rsidRPr="003E1644">
        <w:rPr>
          <w:rFonts w:ascii="Diodrum Semibold" w:eastAsia="Times New Roman" w:hAnsi="Diodrum Semibold" w:cs="Arial"/>
        </w:rPr>
        <w:t xml:space="preserve">a clear path to customer </w:t>
      </w:r>
      <w:r w:rsidR="00FC3322" w:rsidRPr="003E1644">
        <w:rPr>
          <w:rFonts w:ascii="Diodrum Semibold" w:eastAsia="Times New Roman" w:hAnsi="Diodrum Semibold" w:cs="Arial"/>
        </w:rPr>
        <w:t>r</w:t>
      </w:r>
      <w:r w:rsidR="00527F72" w:rsidRPr="003E1644">
        <w:rPr>
          <w:rFonts w:ascii="Diodrum Semibold" w:eastAsia="Times New Roman" w:hAnsi="Diodrum Semibold" w:cs="Arial"/>
        </w:rPr>
        <w:t>eturn on investment (</w:t>
      </w:r>
      <w:r w:rsidR="004009D8" w:rsidRPr="003E1644">
        <w:rPr>
          <w:rFonts w:ascii="Diodrum Semibold" w:eastAsia="Times New Roman" w:hAnsi="Diodrum Semibold" w:cs="Arial"/>
        </w:rPr>
        <w:t>ROI</w:t>
      </w:r>
      <w:r w:rsidR="00527F72" w:rsidRPr="003E1644">
        <w:rPr>
          <w:rFonts w:ascii="Diodrum Semibold" w:eastAsia="Times New Roman" w:hAnsi="Diodrum Semibold" w:cs="Arial"/>
        </w:rPr>
        <w:t>)</w:t>
      </w:r>
      <w:r w:rsidRPr="003E1644">
        <w:rPr>
          <w:rFonts w:eastAsia="Times New Roman" w:cs="Arial"/>
          <w:b/>
          <w:bCs/>
        </w:rPr>
        <w:t>.</w:t>
      </w:r>
      <w:r w:rsidRPr="003E1644">
        <w:rPr>
          <w:rFonts w:eastAsia="Times New Roman" w:cs="Arial"/>
        </w:rPr>
        <w:t xml:space="preserve"> The strongest near-term value proposition is </w:t>
      </w:r>
      <w:r w:rsidRPr="003E1644">
        <w:rPr>
          <w:rFonts w:eastAsia="Times New Roman" w:cs="Arial"/>
          <w:b/>
          <w:bCs/>
        </w:rPr>
        <w:t>resilience</w:t>
      </w:r>
      <w:r w:rsidRPr="003E1644">
        <w:rPr>
          <w:rFonts w:eastAsia="Times New Roman" w:cs="Arial"/>
        </w:rPr>
        <w:t xml:space="preserve"> (backup power), while the strongest structural adoption barrier is </w:t>
      </w:r>
      <w:r w:rsidRPr="003E1644">
        <w:rPr>
          <w:rFonts w:ascii="Diodrum Semibold" w:eastAsia="Times New Roman" w:hAnsi="Diodrum Semibold" w:cs="Arial"/>
        </w:rPr>
        <w:t>upfront equipment + installation cost</w:t>
      </w:r>
      <w:r w:rsidRPr="003E1644">
        <w:rPr>
          <w:rFonts w:eastAsia="Times New Roman" w:cs="Arial"/>
        </w:rPr>
        <w:t xml:space="preserve">, compounded by uncertainty around interoperability, program rules, and (for V2G) compensation and customer control. </w:t>
      </w:r>
    </w:p>
    <w:p w14:paraId="0914973A" w14:textId="53BB30CF" w:rsidR="00593941" w:rsidRPr="003E1644" w:rsidRDefault="00593941" w:rsidP="00A84DDA">
      <w:pPr>
        <w:spacing w:before="60"/>
        <w:rPr>
          <w:rFonts w:eastAsia="Times New Roman" w:cs="Arial"/>
        </w:rPr>
      </w:pPr>
      <w:r w:rsidRPr="003E1644">
        <w:rPr>
          <w:rFonts w:eastAsia="Times New Roman" w:cs="Arial"/>
        </w:rPr>
        <w:t>Several patterns repeat across research phases:</w:t>
      </w:r>
    </w:p>
    <w:p w14:paraId="75FA3CD8" w14:textId="42FEEDD4" w:rsidR="00593941" w:rsidRPr="003E1644" w:rsidRDefault="00593941" w:rsidP="00C0160A">
      <w:pPr>
        <w:numPr>
          <w:ilvl w:val="0"/>
          <w:numId w:val="16"/>
        </w:numPr>
        <w:spacing w:before="60" w:after="60"/>
        <w:rPr>
          <w:rFonts w:eastAsia="Times New Roman" w:cs="Arial"/>
        </w:rPr>
      </w:pPr>
      <w:r w:rsidRPr="003E1644">
        <w:rPr>
          <w:rFonts w:ascii="Diodrum Semibold" w:eastAsia="Times New Roman" w:hAnsi="Diodrum Semibold" w:cs="Arial"/>
        </w:rPr>
        <w:t>Awareness is low-to-moderate, while actual usage is negligible.</w:t>
      </w:r>
      <w:r w:rsidRPr="003E1644">
        <w:rPr>
          <w:rFonts w:eastAsia="Times New Roman" w:cs="Arial"/>
        </w:rPr>
        <w:t xml:space="preserve"> Even where familiarity exists (especially among EV Owners/Intenders nationally), current adoption remains in the low single digits</w:t>
      </w:r>
      <w:r w:rsidR="00717A6A" w:rsidRPr="003E1644">
        <w:rPr>
          <w:rFonts w:eastAsia="Times New Roman" w:cs="Arial"/>
        </w:rPr>
        <w:t xml:space="preserve"> (4% V2H nationally)</w:t>
      </w:r>
      <w:r w:rsidRPr="003E1644">
        <w:rPr>
          <w:rFonts w:eastAsia="Times New Roman" w:cs="Arial"/>
        </w:rPr>
        <w:t>. Among ComEd customers, familiarity is notably low</w:t>
      </w:r>
      <w:r w:rsidR="00717A6A" w:rsidRPr="003E1644">
        <w:rPr>
          <w:rFonts w:eastAsia="Times New Roman" w:cs="Arial"/>
        </w:rPr>
        <w:t xml:space="preserve"> (19% very/somewhat familiar with V2H)</w:t>
      </w:r>
      <w:r w:rsidR="004009D8" w:rsidRPr="003E1644">
        <w:rPr>
          <w:rFonts w:eastAsia="Times New Roman" w:cs="Arial"/>
        </w:rPr>
        <w:t>,</w:t>
      </w:r>
      <w:r w:rsidRPr="003E1644">
        <w:rPr>
          <w:rFonts w:eastAsia="Times New Roman" w:cs="Arial"/>
        </w:rPr>
        <w:t xml:space="preserve"> and reported usage is essentially nonexistent. </w:t>
      </w:r>
    </w:p>
    <w:p w14:paraId="5BC7E9E1" w14:textId="66E09169" w:rsidR="00593941" w:rsidRPr="003E1644" w:rsidRDefault="00593941" w:rsidP="00C0160A">
      <w:pPr>
        <w:numPr>
          <w:ilvl w:val="0"/>
          <w:numId w:val="16"/>
        </w:numPr>
        <w:spacing w:before="60" w:after="60"/>
        <w:rPr>
          <w:rFonts w:eastAsia="Times New Roman" w:cs="Arial"/>
        </w:rPr>
      </w:pPr>
      <w:r w:rsidRPr="003E1644">
        <w:rPr>
          <w:rFonts w:ascii="Diodrum Semibold" w:eastAsia="Times New Roman" w:hAnsi="Diodrum Semibold" w:cs="Arial"/>
        </w:rPr>
        <w:t xml:space="preserve">Interest is “soft” and highly conditional, especially for residential </w:t>
      </w:r>
      <w:r w:rsidR="007D3CC7" w:rsidRPr="003E1644">
        <w:rPr>
          <w:rFonts w:ascii="Diodrum Semibold" w:eastAsia="Times New Roman" w:hAnsi="Diodrum Semibold" w:cs="Arial"/>
        </w:rPr>
        <w:t xml:space="preserve">ComEd </w:t>
      </w:r>
      <w:r w:rsidRPr="003E1644">
        <w:rPr>
          <w:rFonts w:ascii="Diodrum Semibold" w:eastAsia="Times New Roman" w:hAnsi="Diodrum Semibold" w:cs="Arial"/>
        </w:rPr>
        <w:t>customers</w:t>
      </w:r>
      <w:r w:rsidRPr="003E1644">
        <w:rPr>
          <w:rFonts w:eastAsia="Times New Roman" w:cs="Arial"/>
          <w:b/>
          <w:bCs/>
        </w:rPr>
        <w:t>.</w:t>
      </w:r>
      <w:r w:rsidRPr="003E1644">
        <w:rPr>
          <w:rFonts w:eastAsia="Times New Roman" w:cs="Arial"/>
        </w:rPr>
        <w:t xml:space="preserve"> When</w:t>
      </w:r>
      <w:r w:rsidR="00E51BBE" w:rsidRPr="003E1644">
        <w:rPr>
          <w:rFonts w:eastAsia="Times New Roman" w:cs="Arial"/>
        </w:rPr>
        <w:t xml:space="preserve"> </w:t>
      </w:r>
      <w:r w:rsidRPr="003E1644">
        <w:rPr>
          <w:rFonts w:eastAsia="Times New Roman" w:cs="Arial"/>
        </w:rPr>
        <w:t xml:space="preserve">customers are given a simple description of V2H/V2G, interest rises (particularly among EV Owners and EV Intenders), but </w:t>
      </w:r>
      <w:r w:rsidRPr="003E1644">
        <w:rPr>
          <w:rFonts w:eastAsia="Times New Roman" w:cs="Arial"/>
          <w:b/>
          <w:bCs/>
        </w:rPr>
        <w:t>drops sharply once costs are introduced</w:t>
      </w:r>
      <w:r w:rsidRPr="003E1644">
        <w:rPr>
          <w:rFonts w:eastAsia="Times New Roman" w:cs="Arial"/>
        </w:rPr>
        <w:t xml:space="preserve">, indicating that today’s economics do not clear customers’ </w:t>
      </w:r>
      <w:r w:rsidR="00717A6A" w:rsidRPr="003E1644">
        <w:rPr>
          <w:rFonts w:eastAsia="Times New Roman" w:cs="Arial"/>
        </w:rPr>
        <w:t xml:space="preserve">value filter, </w:t>
      </w:r>
      <w:r w:rsidRPr="003E1644">
        <w:rPr>
          <w:rFonts w:eastAsia="Times New Roman" w:cs="Arial"/>
        </w:rPr>
        <w:t>payback expectations</w:t>
      </w:r>
      <w:r w:rsidR="00717A6A" w:rsidRPr="003E1644">
        <w:rPr>
          <w:rFonts w:eastAsia="Times New Roman" w:cs="Arial"/>
        </w:rPr>
        <w:t>,</w:t>
      </w:r>
      <w:r w:rsidR="004009D8" w:rsidRPr="003E1644">
        <w:rPr>
          <w:rFonts w:eastAsia="Times New Roman" w:cs="Arial"/>
        </w:rPr>
        <w:t xml:space="preserve"> and/or budget constraints</w:t>
      </w:r>
      <w:r w:rsidRPr="003E1644">
        <w:rPr>
          <w:rFonts w:eastAsia="Times New Roman" w:cs="Arial"/>
        </w:rPr>
        <w:t xml:space="preserve">. </w:t>
      </w:r>
    </w:p>
    <w:p w14:paraId="66A20E7D" w14:textId="6E3B44E7" w:rsidR="00593941" w:rsidRPr="003E1644" w:rsidRDefault="00593941" w:rsidP="00C0160A">
      <w:pPr>
        <w:numPr>
          <w:ilvl w:val="0"/>
          <w:numId w:val="16"/>
        </w:numPr>
        <w:spacing w:before="60" w:after="60"/>
        <w:rPr>
          <w:rFonts w:eastAsia="Times New Roman" w:cs="Arial"/>
        </w:rPr>
      </w:pPr>
      <w:r w:rsidRPr="003E1644">
        <w:rPr>
          <w:rFonts w:ascii="Diodrum Semibold" w:eastAsia="Times New Roman" w:hAnsi="Diodrum Semibold" w:cs="Arial"/>
        </w:rPr>
        <w:t>Residential: V2H is the lead use case.</w:t>
      </w:r>
      <w:r w:rsidRPr="003E1644">
        <w:rPr>
          <w:rFonts w:eastAsia="Times New Roman" w:cs="Arial"/>
        </w:rPr>
        <w:t xml:space="preserve"> Households most readily understand and value V2H for </w:t>
      </w:r>
      <w:r w:rsidRPr="003E1644">
        <w:rPr>
          <w:rFonts w:ascii="Diodrum Semibold" w:eastAsia="Times New Roman" w:hAnsi="Diodrum Semibold" w:cs="Arial"/>
        </w:rPr>
        <w:t>backup power</w:t>
      </w:r>
      <w:r w:rsidRPr="003E1644">
        <w:rPr>
          <w:rFonts w:eastAsia="Times New Roman" w:cs="Arial"/>
        </w:rPr>
        <w:t xml:space="preserve"> and (secondarily) bill management, whereas V2G adds perceived complexity, uncertainty, and “loss of control” concerns. </w:t>
      </w:r>
    </w:p>
    <w:p w14:paraId="56F7A618" w14:textId="4E0B1932" w:rsidR="00593941" w:rsidRPr="003E1644" w:rsidRDefault="00593941" w:rsidP="00C0160A">
      <w:pPr>
        <w:numPr>
          <w:ilvl w:val="0"/>
          <w:numId w:val="16"/>
        </w:numPr>
        <w:spacing w:before="60" w:after="60"/>
        <w:rPr>
          <w:rFonts w:eastAsia="Times New Roman" w:cs="Arial"/>
        </w:rPr>
      </w:pPr>
      <w:r w:rsidRPr="003E1644">
        <w:rPr>
          <w:rFonts w:ascii="Diodrum Semibold" w:eastAsia="Times New Roman" w:hAnsi="Diodrum Semibold" w:cs="Arial"/>
        </w:rPr>
        <w:t>Business: V2B/V2G interest exists nationally</w:t>
      </w:r>
      <w:r w:rsidR="004009D8" w:rsidRPr="003E1644">
        <w:rPr>
          <w:rFonts w:ascii="Diodrum Semibold" w:eastAsia="Times New Roman" w:hAnsi="Diodrum Semibold" w:cs="Arial"/>
        </w:rPr>
        <w:t xml:space="preserve"> </w:t>
      </w:r>
      <w:r w:rsidR="001701DF" w:rsidRPr="003E1644">
        <w:rPr>
          <w:rFonts w:ascii="Diodrum Semibold" w:eastAsia="Times New Roman" w:hAnsi="Diodrum Semibold" w:cs="Arial"/>
        </w:rPr>
        <w:t xml:space="preserve">among EV Owners and Intenders </w:t>
      </w:r>
      <w:r w:rsidR="004009D8" w:rsidRPr="003E1644">
        <w:rPr>
          <w:rFonts w:ascii="Diodrum Semibold" w:eastAsia="Times New Roman" w:hAnsi="Diodrum Semibold" w:cs="Arial"/>
        </w:rPr>
        <w:t>(to a limited extent)</w:t>
      </w:r>
      <w:r w:rsidR="001701DF" w:rsidRPr="003E1644">
        <w:rPr>
          <w:rFonts w:ascii="Diodrum Semibold" w:eastAsia="Times New Roman" w:hAnsi="Diodrum Semibold" w:cs="Arial"/>
        </w:rPr>
        <w:t>.</w:t>
      </w:r>
      <w:r w:rsidRPr="003E1644">
        <w:rPr>
          <w:rFonts w:ascii="Diodrum Semibold" w:eastAsia="Times New Roman" w:hAnsi="Diodrum Semibold" w:cs="Arial"/>
        </w:rPr>
        <w:t xml:space="preserve"> </w:t>
      </w:r>
      <w:r w:rsidR="001701DF" w:rsidRPr="003E1644">
        <w:rPr>
          <w:rFonts w:ascii="Diodrum Semibold" w:eastAsia="Times New Roman" w:hAnsi="Diodrum Semibold" w:cs="Arial"/>
        </w:rPr>
        <w:t xml:space="preserve">Among all </w:t>
      </w:r>
      <w:r w:rsidRPr="003E1644">
        <w:rPr>
          <w:rFonts w:ascii="Diodrum Semibold" w:eastAsia="Times New Roman" w:hAnsi="Diodrum Semibold" w:cs="Arial"/>
        </w:rPr>
        <w:t>ComEd business customers</w:t>
      </w:r>
      <w:r w:rsidR="00E51BBE" w:rsidRPr="003E1644">
        <w:rPr>
          <w:rFonts w:ascii="Diodrum Semibold" w:eastAsia="Times New Roman" w:hAnsi="Diodrum Semibold" w:cs="Arial"/>
        </w:rPr>
        <w:t>,</w:t>
      </w:r>
      <w:r w:rsidRPr="003E1644">
        <w:rPr>
          <w:rFonts w:ascii="Diodrum Semibold" w:eastAsia="Times New Roman" w:hAnsi="Diodrum Semibold" w:cs="Arial"/>
        </w:rPr>
        <w:t xml:space="preserve"> </w:t>
      </w:r>
      <w:r w:rsidR="001701DF" w:rsidRPr="003E1644">
        <w:rPr>
          <w:rFonts w:ascii="Diodrum Semibold" w:eastAsia="Times New Roman" w:hAnsi="Diodrum Semibold" w:cs="Arial"/>
        </w:rPr>
        <w:t>interest is very limited</w:t>
      </w:r>
      <w:r w:rsidRPr="003E1644">
        <w:rPr>
          <w:rFonts w:ascii="Diodrum Semibold" w:eastAsia="Times New Roman" w:hAnsi="Diodrum Semibold" w:cs="Arial"/>
        </w:rPr>
        <w:t>.</w:t>
      </w:r>
      <w:r w:rsidRPr="003E1644">
        <w:rPr>
          <w:rFonts w:eastAsia="Times New Roman" w:cs="Arial"/>
        </w:rPr>
        <w:t xml:space="preserve"> In the </w:t>
      </w:r>
      <w:r w:rsidRPr="003E1644">
        <w:rPr>
          <w:rFonts w:eastAsia="Times New Roman" w:cs="Arial"/>
        </w:rPr>
        <w:lastRenderedPageBreak/>
        <w:t>national business sample</w:t>
      </w:r>
      <w:r w:rsidR="001701DF" w:rsidRPr="003E1644">
        <w:rPr>
          <w:rFonts w:eastAsia="Times New Roman" w:cs="Arial"/>
        </w:rPr>
        <w:t xml:space="preserve"> of EV Owners and Intenders</w:t>
      </w:r>
      <w:r w:rsidRPr="003E1644">
        <w:rPr>
          <w:rFonts w:eastAsia="Times New Roman" w:cs="Arial"/>
        </w:rPr>
        <w:t>, interest is high</w:t>
      </w:r>
      <w:r w:rsidR="004009D8" w:rsidRPr="003E1644">
        <w:rPr>
          <w:rFonts w:eastAsia="Times New Roman" w:cs="Arial"/>
        </w:rPr>
        <w:t>er</w:t>
      </w:r>
      <w:r w:rsidRPr="003E1644">
        <w:rPr>
          <w:rFonts w:eastAsia="Times New Roman" w:cs="Arial"/>
        </w:rPr>
        <w:t xml:space="preserve"> and relatively less cost-sensitive</w:t>
      </w:r>
      <w:r w:rsidR="00717A6A" w:rsidRPr="003E1644">
        <w:rPr>
          <w:rFonts w:eastAsia="Times New Roman" w:cs="Arial"/>
        </w:rPr>
        <w:t xml:space="preserve"> (88%-89% interested)</w:t>
      </w:r>
      <w:r w:rsidRPr="003E1644">
        <w:rPr>
          <w:rFonts w:eastAsia="Times New Roman" w:cs="Arial"/>
        </w:rPr>
        <w:t xml:space="preserve">; </w:t>
      </w:r>
      <w:r w:rsidR="001701DF" w:rsidRPr="003E1644">
        <w:rPr>
          <w:rFonts w:eastAsia="Times New Roman" w:cs="Arial"/>
        </w:rPr>
        <w:t xml:space="preserve">Among general business customers </w:t>
      </w:r>
      <w:r w:rsidRPr="003E1644">
        <w:rPr>
          <w:rFonts w:eastAsia="Times New Roman" w:cs="Arial"/>
        </w:rPr>
        <w:t>in ComEd’s territory, interest is low</w:t>
      </w:r>
      <w:r w:rsidR="004009D8" w:rsidRPr="003E1644">
        <w:rPr>
          <w:rFonts w:eastAsia="Times New Roman" w:cs="Arial"/>
        </w:rPr>
        <w:t>er</w:t>
      </w:r>
      <w:r w:rsidRPr="003E1644">
        <w:rPr>
          <w:rFonts w:eastAsia="Times New Roman" w:cs="Arial"/>
        </w:rPr>
        <w:t xml:space="preserve"> </w:t>
      </w:r>
      <w:r w:rsidR="00717A6A" w:rsidRPr="003E1644">
        <w:rPr>
          <w:rFonts w:eastAsia="Times New Roman" w:cs="Arial"/>
        </w:rPr>
        <w:t xml:space="preserve">(4%-7%) </w:t>
      </w:r>
      <w:r w:rsidRPr="003E1644">
        <w:rPr>
          <w:rFonts w:eastAsia="Times New Roman" w:cs="Arial"/>
        </w:rPr>
        <w:t xml:space="preserve">and often driven by </w:t>
      </w:r>
      <w:r w:rsidR="004009D8" w:rsidRPr="003E1644">
        <w:rPr>
          <w:rFonts w:eastAsia="Times New Roman" w:cs="Arial"/>
        </w:rPr>
        <w:t xml:space="preserve">a </w:t>
      </w:r>
      <w:r w:rsidRPr="003E1644">
        <w:rPr>
          <w:rFonts w:eastAsia="Times New Roman" w:cs="Arial"/>
          <w:b/>
          <w:bCs/>
        </w:rPr>
        <w:t>lack of perceived operational need</w:t>
      </w:r>
      <w:r w:rsidRPr="003E1644">
        <w:rPr>
          <w:rFonts w:eastAsia="Times New Roman" w:cs="Arial"/>
        </w:rPr>
        <w:t xml:space="preserve"> (</w:t>
      </w:r>
      <w:proofErr w:type="gramStart"/>
      <w:r w:rsidRPr="003E1644">
        <w:rPr>
          <w:rFonts w:eastAsia="Times New Roman" w:cs="Arial"/>
        </w:rPr>
        <w:t>not only cost</w:t>
      </w:r>
      <w:proofErr w:type="gramEnd"/>
      <w:r w:rsidRPr="003E1644">
        <w:rPr>
          <w:rFonts w:eastAsia="Times New Roman" w:cs="Arial"/>
        </w:rPr>
        <w:t xml:space="preserve">). </w:t>
      </w:r>
    </w:p>
    <w:p w14:paraId="29443DEB" w14:textId="381CE1BB" w:rsidR="004009D8" w:rsidRPr="003E1644" w:rsidRDefault="004009D8" w:rsidP="00C0160A">
      <w:pPr>
        <w:numPr>
          <w:ilvl w:val="0"/>
          <w:numId w:val="16"/>
        </w:numPr>
        <w:spacing w:before="60" w:after="60"/>
        <w:rPr>
          <w:rFonts w:eastAsia="Times New Roman" w:cs="Arial"/>
        </w:rPr>
      </w:pPr>
      <w:r w:rsidRPr="003E1644">
        <w:rPr>
          <w:rFonts w:ascii="Diodrum Semibold" w:eastAsia="Times New Roman" w:hAnsi="Diodrum Semibold" w:cs="Arial"/>
        </w:rPr>
        <w:t>Equity considerations are central to V2X market development.</w:t>
      </w:r>
      <w:r w:rsidRPr="003E1644">
        <w:rPr>
          <w:rFonts w:eastAsia="Times New Roman" w:cs="Arial"/>
          <w:b/>
          <w:bCs/>
        </w:rPr>
        <w:t xml:space="preserve"> </w:t>
      </w:r>
      <w:r w:rsidRPr="003E1644">
        <w:rPr>
          <w:rFonts w:eastAsia="Times New Roman" w:cs="Arial"/>
        </w:rPr>
        <w:t>Current market evidence shows that adoption is significantly more likely among higher-income households, largely due to greater access to home charging, upfront capital, financing options, and compatible housing (e.g., single-family homes with garages). Without intentional program design to address structural barriers, such as affordability, multi-family charging access, financing support, and trusted community-based education, V2X benefits risk accruing disproportionately to higher-income customers, leaving LI, EJ, and R3 communities behind.</w:t>
      </w:r>
    </w:p>
    <w:p w14:paraId="4A8C9694" w14:textId="54042761" w:rsidR="00593941" w:rsidRPr="003E1644" w:rsidRDefault="00593941" w:rsidP="00C0160A">
      <w:pPr>
        <w:numPr>
          <w:ilvl w:val="0"/>
          <w:numId w:val="16"/>
        </w:numPr>
        <w:spacing w:before="60" w:after="60"/>
        <w:rPr>
          <w:rFonts w:eastAsia="Times New Roman" w:cs="Arial"/>
        </w:rPr>
      </w:pPr>
      <w:r w:rsidRPr="003E1644">
        <w:rPr>
          <w:rFonts w:ascii="Diodrum Semibold" w:eastAsia="Times New Roman" w:hAnsi="Diodrum Semibold" w:cs="Arial"/>
        </w:rPr>
        <w:t xml:space="preserve">The practical path forward is targeted, not mass-market. </w:t>
      </w:r>
      <w:r w:rsidRPr="003E1644">
        <w:rPr>
          <w:rFonts w:eastAsia="Times New Roman" w:cs="Arial"/>
        </w:rPr>
        <w:t xml:space="preserve">The combined evidence supports a near-term strategy focused on the customer segments most likely to adopt (EV Owners/Intenders; select fleet operators with predictable dwell time; school districts in certain cases), paired with clear education, OEM partnerships, and risk-reducing program rules. </w:t>
      </w:r>
    </w:p>
    <w:p w14:paraId="657AAED3" w14:textId="1F392771" w:rsidR="00593941" w:rsidRPr="00B020AC" w:rsidRDefault="00593941" w:rsidP="008F7C4A">
      <w:pPr>
        <w:pStyle w:val="Heading3"/>
        <w:rPr>
          <w:i/>
          <w:iCs/>
        </w:rPr>
      </w:pPr>
      <w:r w:rsidRPr="00B020AC">
        <w:t>Segment Highlights Across all Research Phases</w:t>
      </w:r>
    </w:p>
    <w:p w14:paraId="2E91CDAA" w14:textId="77777777" w:rsidR="00593941" w:rsidRPr="003E1644" w:rsidRDefault="00593941" w:rsidP="008F7C4A">
      <w:pPr>
        <w:numPr>
          <w:ilvl w:val="0"/>
          <w:numId w:val="17"/>
        </w:numPr>
        <w:rPr>
          <w:rFonts w:eastAsia="Times New Roman" w:cs="Arial"/>
        </w:rPr>
      </w:pPr>
      <w:r w:rsidRPr="003E1644">
        <w:rPr>
          <w:rFonts w:ascii="Diodrum Semibold" w:eastAsia="Times New Roman" w:hAnsi="Diodrum Semibold" w:cs="Arial"/>
        </w:rPr>
        <w:t>EV Owners:</w:t>
      </w:r>
      <w:r w:rsidRPr="003E1644">
        <w:rPr>
          <w:rFonts w:eastAsia="Times New Roman" w:cs="Arial"/>
        </w:rPr>
        <w:t xml:space="preserve"> Consistently show the highest familiarity and interest. They are the most plausible early adopters, especially those who already value distributed energy (e.g., solar owners) and those with strong resilience needs. Still, cost and concerns about battery degradation/control remain significant friction points. </w:t>
      </w:r>
    </w:p>
    <w:p w14:paraId="4C77A652" w14:textId="395F8AC1" w:rsidR="00593941" w:rsidRPr="003E1644" w:rsidRDefault="00593941" w:rsidP="008F7C4A">
      <w:pPr>
        <w:numPr>
          <w:ilvl w:val="0"/>
          <w:numId w:val="17"/>
        </w:numPr>
        <w:rPr>
          <w:rFonts w:eastAsia="Times New Roman" w:cs="Arial"/>
        </w:rPr>
      </w:pPr>
      <w:r w:rsidRPr="003E1644">
        <w:rPr>
          <w:rFonts w:ascii="Diodrum Semibold" w:eastAsia="Times New Roman" w:hAnsi="Diodrum Semibold" w:cs="Arial"/>
        </w:rPr>
        <w:t xml:space="preserve">EV Intenders: </w:t>
      </w:r>
      <w:r w:rsidRPr="003E1644">
        <w:rPr>
          <w:rFonts w:eastAsia="Times New Roman" w:cs="Arial"/>
        </w:rPr>
        <w:t xml:space="preserve">Often show meaningful interest after </w:t>
      </w:r>
      <w:r w:rsidR="00FD5EBE" w:rsidRPr="003E1644">
        <w:rPr>
          <w:rFonts w:eastAsia="Times New Roman" w:cs="Arial"/>
        </w:rPr>
        <w:t>education but</w:t>
      </w:r>
      <w:r w:rsidRPr="003E1644">
        <w:rPr>
          <w:rFonts w:eastAsia="Times New Roman" w:cs="Arial"/>
        </w:rPr>
        <w:t xml:space="preserve"> are more likely to cite EV cost as a barrier and are sensitive to total system economics; they may require clearer ROI and simpler, bundled offerings. </w:t>
      </w:r>
    </w:p>
    <w:p w14:paraId="66966F11" w14:textId="77777777" w:rsidR="00593941" w:rsidRPr="003E1644" w:rsidRDefault="00593941" w:rsidP="008F7C4A">
      <w:pPr>
        <w:numPr>
          <w:ilvl w:val="0"/>
          <w:numId w:val="17"/>
        </w:numPr>
        <w:rPr>
          <w:rFonts w:eastAsia="Times New Roman" w:cs="Arial"/>
        </w:rPr>
      </w:pPr>
      <w:r w:rsidRPr="003E1644">
        <w:rPr>
          <w:rFonts w:ascii="Diodrum Semibold" w:eastAsia="Times New Roman" w:hAnsi="Diodrum Semibold" w:cs="Arial"/>
        </w:rPr>
        <w:t xml:space="preserve">Non-owners/non-intenders: </w:t>
      </w:r>
      <w:r w:rsidRPr="003E1644">
        <w:rPr>
          <w:rFonts w:eastAsia="Times New Roman" w:cs="Arial"/>
        </w:rPr>
        <w:t xml:space="preserve">Low perceived need is a dominant limiter; broad marketing to this group is unlikely to convert near term. </w:t>
      </w:r>
    </w:p>
    <w:p w14:paraId="6D12121A" w14:textId="7C09C958" w:rsidR="00064A89" w:rsidRPr="003E1644" w:rsidRDefault="00593941" w:rsidP="008F7C4A">
      <w:pPr>
        <w:numPr>
          <w:ilvl w:val="0"/>
          <w:numId w:val="17"/>
        </w:numPr>
        <w:rPr>
          <w:rFonts w:eastAsia="Times New Roman" w:cs="Arial"/>
        </w:rPr>
      </w:pPr>
      <w:r w:rsidRPr="003E1644">
        <w:rPr>
          <w:rFonts w:ascii="Diodrum Semibold" w:eastAsia="Times New Roman" w:hAnsi="Diodrum Semibold" w:cs="Arial"/>
        </w:rPr>
        <w:t xml:space="preserve">LI/EJ/R3: </w:t>
      </w:r>
      <w:r w:rsidRPr="003E1644">
        <w:rPr>
          <w:rFonts w:eastAsia="Times New Roman" w:cs="Arial"/>
        </w:rPr>
        <w:t xml:space="preserve">Show slightly lower familiarity nationally and face structural barriers (cost, access to charging, financing, housing constraints). Without targeted design (upfront cost relief, accessible installation models, and trusted messengers), V2X risks reinforcing existing energy and mobility inequities. </w:t>
      </w:r>
    </w:p>
    <w:p w14:paraId="1BF19DF9" w14:textId="0C044CCB" w:rsidR="00593941" w:rsidRPr="00C0160A" w:rsidRDefault="00593941" w:rsidP="00C0160A">
      <w:pPr>
        <w:pStyle w:val="Heading4"/>
      </w:pPr>
      <w:r w:rsidRPr="00C0160A">
        <w:t xml:space="preserve">Phase 1 </w:t>
      </w:r>
      <w:r w:rsidR="00C0160A">
        <w:t>S</w:t>
      </w:r>
      <w:r w:rsidRPr="00C0160A">
        <w:t>ummary: Market Intelligence Analysis (Secondary Research)</w:t>
      </w:r>
    </w:p>
    <w:p w14:paraId="1F461913" w14:textId="2D26255F" w:rsidR="00593941" w:rsidRPr="003E1644" w:rsidRDefault="00593941" w:rsidP="00A84DDA">
      <w:pPr>
        <w:spacing w:before="60"/>
        <w:rPr>
          <w:rFonts w:eastAsia="Times New Roman" w:cs="Arial"/>
        </w:rPr>
      </w:pPr>
      <w:r w:rsidRPr="003E1644">
        <w:rPr>
          <w:rFonts w:eastAsia="Times New Roman" w:cs="Arial"/>
        </w:rPr>
        <w:t xml:space="preserve">Phase 1 establishes that </w:t>
      </w:r>
      <w:r w:rsidRPr="003E1644">
        <w:rPr>
          <w:rFonts w:ascii="Diodrum Semibold" w:eastAsia="Times New Roman" w:hAnsi="Diodrum Semibold" w:cs="Arial"/>
        </w:rPr>
        <w:t xml:space="preserve">bidirectional charging is a </w:t>
      </w:r>
      <w:r w:rsidR="0081788B" w:rsidRPr="003E1644">
        <w:rPr>
          <w:rFonts w:ascii="Diodrum Semibold" w:eastAsia="Times New Roman" w:hAnsi="Diodrum Semibold" w:cs="Arial"/>
        </w:rPr>
        <w:t>high-potential</w:t>
      </w:r>
      <w:r w:rsidRPr="003E1644">
        <w:rPr>
          <w:rFonts w:ascii="Diodrum Semibold" w:eastAsia="Times New Roman" w:hAnsi="Diodrum Semibold" w:cs="Arial"/>
        </w:rPr>
        <w:t xml:space="preserve"> enabling technology</w:t>
      </w:r>
      <w:r w:rsidRPr="003E1644">
        <w:rPr>
          <w:rFonts w:eastAsia="Times New Roman" w:cs="Arial"/>
        </w:rPr>
        <w:t xml:space="preserve"> for resilience and grid optimization, but the </w:t>
      </w:r>
      <w:r w:rsidRPr="003E1644">
        <w:rPr>
          <w:rFonts w:ascii="Diodrum Semibold" w:eastAsia="Times New Roman" w:hAnsi="Diodrum Semibold" w:cs="Arial"/>
        </w:rPr>
        <w:t>current market is extremely small</w:t>
      </w:r>
      <w:r w:rsidRPr="003E1644">
        <w:rPr>
          <w:rFonts w:eastAsia="Times New Roman" w:cs="Arial"/>
        </w:rPr>
        <w:t xml:space="preserve"> and constrained by foundational readiness gaps. EV adoption is growing</w:t>
      </w:r>
      <w:r w:rsidR="0081788B" w:rsidRPr="003E1644">
        <w:rPr>
          <w:rFonts w:eastAsia="Times New Roman" w:cs="Arial"/>
        </w:rPr>
        <w:t>,</w:t>
      </w:r>
      <w:r w:rsidRPr="003E1644">
        <w:rPr>
          <w:rFonts w:eastAsia="Times New Roman" w:cs="Arial"/>
        </w:rPr>
        <w:t xml:space="preserve"> and policy signals (in </w:t>
      </w:r>
      <w:r w:rsidR="00086F92" w:rsidRPr="003E1644">
        <w:rPr>
          <w:rFonts w:eastAsia="Times New Roman" w:cs="Arial"/>
        </w:rPr>
        <w:t>certain</w:t>
      </w:r>
      <w:r w:rsidRPr="003E1644">
        <w:rPr>
          <w:rFonts w:eastAsia="Times New Roman" w:cs="Arial"/>
        </w:rPr>
        <w:t xml:space="preserve"> states</w:t>
      </w:r>
      <w:r w:rsidR="00086F92" w:rsidRPr="003E1644">
        <w:rPr>
          <w:rFonts w:eastAsia="Times New Roman" w:cs="Arial"/>
        </w:rPr>
        <w:t>, including CA, MD, and NY</w:t>
      </w:r>
      <w:r w:rsidRPr="003E1644">
        <w:rPr>
          <w:rFonts w:eastAsia="Times New Roman" w:cs="Arial"/>
        </w:rPr>
        <w:t xml:space="preserve">) are accelerating OEM and infrastructure attention, yet </w:t>
      </w:r>
      <w:r w:rsidRPr="003E1644">
        <w:rPr>
          <w:rFonts w:ascii="Diodrum Semibold" w:eastAsia="Times New Roman" w:hAnsi="Diodrum Semibold" w:cs="Arial"/>
        </w:rPr>
        <w:t>V2X penetration remains limited</w:t>
      </w:r>
      <w:r w:rsidRPr="003E1644">
        <w:rPr>
          <w:rFonts w:eastAsia="Times New Roman" w:cs="Arial"/>
        </w:rPr>
        <w:t xml:space="preserve"> and uneven across states due to differences in incentives, charging infrastructure availability, and supportive policies. </w:t>
      </w:r>
    </w:p>
    <w:p w14:paraId="13D86BB8" w14:textId="77777777" w:rsidR="008F7C4A" w:rsidRPr="003E1644" w:rsidRDefault="00D976DD" w:rsidP="008F7C4A">
      <w:pPr>
        <w:spacing w:before="40" w:after="40"/>
        <w:rPr>
          <w:rFonts w:eastAsia="Times New Roman" w:cs="Arial"/>
        </w:rPr>
      </w:pPr>
      <w:r w:rsidRPr="003E1644">
        <w:rPr>
          <w:rFonts w:eastAsia="Times New Roman" w:cs="Arial"/>
        </w:rPr>
        <w:t xml:space="preserve">Scaling is constrained by four interlocking barriers: </w:t>
      </w:r>
      <w:r w:rsidRPr="003E1644">
        <w:rPr>
          <w:rFonts w:ascii="Diodrum Semibold" w:eastAsia="Times New Roman" w:hAnsi="Diodrum Semibold" w:cs="Arial"/>
        </w:rPr>
        <w:t>technical fragmentation</w:t>
      </w:r>
      <w:r w:rsidRPr="003E1644">
        <w:rPr>
          <w:rFonts w:eastAsia="Times New Roman" w:cs="Arial"/>
        </w:rPr>
        <w:t xml:space="preserve"> (lack of standards and interoperability), </w:t>
      </w:r>
      <w:r w:rsidRPr="003E1644">
        <w:rPr>
          <w:rFonts w:ascii="Diodrum Semibold" w:eastAsia="Times New Roman" w:hAnsi="Diodrum Semibold" w:cs="Arial"/>
        </w:rPr>
        <w:t xml:space="preserve">high upfront equipment and installation costs, unclear and inconsistent </w:t>
      </w:r>
      <w:r w:rsidRPr="003E1644">
        <w:rPr>
          <w:rFonts w:ascii="Diodrum Semibold" w:eastAsia="Times New Roman" w:hAnsi="Diodrum Semibold" w:cs="Arial"/>
        </w:rPr>
        <w:lastRenderedPageBreak/>
        <w:t>state-level regulatory frameworks, and structural equity gaps that favor higher-income households</w:t>
      </w:r>
      <w:r w:rsidRPr="003E1644">
        <w:rPr>
          <w:rFonts w:eastAsia="Times New Roman" w:cs="Arial"/>
        </w:rPr>
        <w:t>. Unlocking broader adoption will require unified standards, streamlined interconnection, targeted financial incentives, equity-focused program design, cross-sector coordination, and clearer customer education tied to tangible use cases.</w:t>
      </w:r>
    </w:p>
    <w:p w14:paraId="0EE2F9FC" w14:textId="4520BBFB" w:rsidR="00593941" w:rsidRPr="003E1644" w:rsidRDefault="00D976DD" w:rsidP="008F7C4A">
      <w:pPr>
        <w:spacing w:before="40" w:after="40"/>
        <w:rPr>
          <w:rFonts w:eastAsia="Times New Roman" w:cs="Arial"/>
        </w:rPr>
      </w:pPr>
      <w:r w:rsidRPr="003E1644">
        <w:rPr>
          <w:rFonts w:ascii="Diodrum Semibold" w:eastAsia="Times New Roman" w:hAnsi="Diodrum Semibold" w:cs="Arial"/>
        </w:rPr>
        <w:t>Key Takeaway: The long-term opportunity is credible, but foundational technical, economic, and policy gaps limit near-term scale.</w:t>
      </w:r>
    </w:p>
    <w:p w14:paraId="5325744A" w14:textId="49A75F8E" w:rsidR="00593941" w:rsidRPr="00C0160A" w:rsidRDefault="00593941" w:rsidP="00C0160A">
      <w:pPr>
        <w:pStyle w:val="Heading4"/>
      </w:pPr>
      <w:r w:rsidRPr="00C0160A">
        <w:t xml:space="preserve">Phase 2 </w:t>
      </w:r>
      <w:r w:rsidR="003E1644">
        <w:t>S</w:t>
      </w:r>
      <w:r w:rsidRPr="00C0160A">
        <w:t>ummary: Qualitative Stakeholder Interviews</w:t>
      </w:r>
    </w:p>
    <w:p w14:paraId="5EEB28F3" w14:textId="77777777" w:rsidR="00593941" w:rsidRPr="003E1644" w:rsidRDefault="00593941" w:rsidP="00A84DDA">
      <w:pPr>
        <w:spacing w:before="60"/>
        <w:rPr>
          <w:rFonts w:eastAsia="Times New Roman" w:cs="Arial"/>
        </w:rPr>
      </w:pPr>
      <w:r w:rsidRPr="003E1644">
        <w:rPr>
          <w:rFonts w:eastAsia="Times New Roman" w:cs="Arial"/>
        </w:rPr>
        <w:t xml:space="preserve">Stakeholders broadly describe V2X as an innovation moving from experimentation toward early scaling preparation, but </w:t>
      </w:r>
      <w:r w:rsidRPr="003E1644">
        <w:rPr>
          <w:rFonts w:ascii="Diodrum Semibold" w:eastAsia="Times New Roman" w:hAnsi="Diodrum Semibold" w:cs="Arial"/>
        </w:rPr>
        <w:t>not yet “easy” or mainstream</w:t>
      </w:r>
      <w:r w:rsidRPr="003E1644">
        <w:rPr>
          <w:rFonts w:eastAsia="Times New Roman" w:cs="Arial"/>
          <w:b/>
          <w:bCs/>
        </w:rPr>
        <w:t>.</w:t>
      </w:r>
      <w:r w:rsidRPr="003E1644">
        <w:rPr>
          <w:rFonts w:eastAsia="Times New Roman" w:cs="Arial"/>
        </w:rPr>
        <w:t xml:space="preserve"> Many expect V2X to become meaningfully viable </w:t>
      </w:r>
      <w:r w:rsidRPr="003E1644">
        <w:rPr>
          <w:rFonts w:ascii="Diodrum Semibold" w:eastAsia="Times New Roman" w:hAnsi="Diodrum Semibold" w:cs="Arial"/>
        </w:rPr>
        <w:t>5–10 years out</w:t>
      </w:r>
      <w:r w:rsidRPr="003E1644">
        <w:rPr>
          <w:rFonts w:eastAsia="Times New Roman" w:cs="Arial"/>
        </w:rPr>
        <w:t xml:space="preserve">, with modest adoption near-term and greater acceleration later as vehicle compatibility expands, standards mature, and utility/business models clarify. </w:t>
      </w:r>
    </w:p>
    <w:p w14:paraId="4BFF159B" w14:textId="02F89E67" w:rsidR="00593941" w:rsidRPr="003E1644" w:rsidRDefault="00D976DD" w:rsidP="00A84DDA">
      <w:pPr>
        <w:spacing w:before="60"/>
        <w:rPr>
          <w:rFonts w:ascii="Diodrum Semibold" w:eastAsia="Times New Roman" w:hAnsi="Diodrum Semibold" w:cs="Arial"/>
        </w:rPr>
      </w:pPr>
      <w:r w:rsidRPr="003E1644">
        <w:rPr>
          <w:rFonts w:ascii="Diodrum Semibold" w:eastAsia="Times New Roman" w:hAnsi="Diodrum Semibold" w:cs="Arial"/>
        </w:rPr>
        <w:t>Barriers exist across</w:t>
      </w:r>
      <w:r w:rsidR="00593941" w:rsidRPr="003E1644">
        <w:rPr>
          <w:rFonts w:ascii="Diodrum Semibold" w:eastAsia="Times New Roman" w:hAnsi="Diodrum Semibold" w:cs="Arial"/>
        </w:rPr>
        <w:t xml:space="preserve"> levels:</w:t>
      </w:r>
    </w:p>
    <w:p w14:paraId="13ECC20A" w14:textId="77777777" w:rsidR="00593941" w:rsidRPr="003E1644" w:rsidRDefault="00593941" w:rsidP="00952814">
      <w:pPr>
        <w:numPr>
          <w:ilvl w:val="0"/>
          <w:numId w:val="19"/>
        </w:numPr>
        <w:spacing w:before="40" w:after="40"/>
        <w:rPr>
          <w:rFonts w:eastAsia="Times New Roman" w:cs="Arial"/>
        </w:rPr>
      </w:pPr>
      <w:r w:rsidRPr="003E1644">
        <w:rPr>
          <w:rFonts w:ascii="Diodrum Semibold" w:eastAsia="Times New Roman" w:hAnsi="Diodrum Semibold" w:cs="Arial"/>
        </w:rPr>
        <w:t>EV-side constraints:</w:t>
      </w:r>
      <w:r w:rsidRPr="003E1644">
        <w:rPr>
          <w:rFonts w:eastAsia="Times New Roman" w:cs="Arial"/>
        </w:rPr>
        <w:t xml:space="preserve"> limited availability and cost of bidirectional-capable vehicles and chargers; early software/first-generation reliability issues</w:t>
      </w:r>
    </w:p>
    <w:p w14:paraId="7CDCAE3B" w14:textId="77777777" w:rsidR="00593941" w:rsidRPr="003E1644" w:rsidRDefault="00593941" w:rsidP="00952814">
      <w:pPr>
        <w:numPr>
          <w:ilvl w:val="0"/>
          <w:numId w:val="19"/>
        </w:numPr>
        <w:spacing w:before="40" w:after="40"/>
        <w:rPr>
          <w:rFonts w:eastAsia="Times New Roman" w:cs="Arial"/>
        </w:rPr>
      </w:pPr>
      <w:r w:rsidRPr="003E1644">
        <w:rPr>
          <w:rFonts w:ascii="Diodrum Semibold" w:eastAsia="Times New Roman" w:hAnsi="Diodrum Semibold" w:cs="Arial"/>
        </w:rPr>
        <w:t>Utility-side constraints:</w:t>
      </w:r>
      <w:r w:rsidRPr="003E1644">
        <w:rPr>
          <w:rFonts w:eastAsia="Times New Roman" w:cs="Arial"/>
        </w:rPr>
        <w:t xml:space="preserve"> utilities’ satisfaction with existing demand response approaches, concerns about required investment, and worries about network impacts</w:t>
      </w:r>
    </w:p>
    <w:p w14:paraId="3914FAE8" w14:textId="77777777" w:rsidR="00593941" w:rsidRPr="003E1644" w:rsidRDefault="00593941" w:rsidP="00952814">
      <w:pPr>
        <w:numPr>
          <w:ilvl w:val="0"/>
          <w:numId w:val="19"/>
        </w:numPr>
        <w:spacing w:before="40" w:after="40"/>
        <w:rPr>
          <w:rFonts w:eastAsia="Times New Roman" w:cs="Arial"/>
        </w:rPr>
      </w:pPr>
      <w:r w:rsidRPr="003E1644">
        <w:rPr>
          <w:rFonts w:ascii="Diodrum Semibold" w:eastAsia="Times New Roman" w:hAnsi="Diodrum Semibold" w:cs="Arial"/>
        </w:rPr>
        <w:t>Market-wide constraints:</w:t>
      </w:r>
      <w:r w:rsidRPr="003E1644">
        <w:rPr>
          <w:rFonts w:eastAsia="Times New Roman" w:cs="Arial"/>
        </w:rPr>
        <w:t xml:space="preserve"> lack of universally approved communications standards, battery degradation concerns, and low consumer awareness </w:t>
      </w:r>
    </w:p>
    <w:p w14:paraId="4DD230D0" w14:textId="4810B44E" w:rsidR="00D976DD" w:rsidRPr="003E1644" w:rsidRDefault="00D976DD" w:rsidP="00D976DD">
      <w:pPr>
        <w:spacing w:before="60"/>
        <w:rPr>
          <w:rFonts w:eastAsia="Times New Roman" w:cs="Arial"/>
        </w:rPr>
      </w:pPr>
      <w:r w:rsidRPr="003E1644">
        <w:rPr>
          <w:rFonts w:eastAsia="Times New Roman" w:cs="Arial"/>
        </w:rPr>
        <w:t>Use case differentiation is clear:</w:t>
      </w:r>
    </w:p>
    <w:p w14:paraId="0CADDF29" w14:textId="77777777" w:rsidR="00D976DD" w:rsidRPr="003E1644" w:rsidRDefault="00D976DD" w:rsidP="00D976DD">
      <w:pPr>
        <w:numPr>
          <w:ilvl w:val="0"/>
          <w:numId w:val="19"/>
        </w:numPr>
        <w:spacing w:before="40" w:after="40"/>
        <w:rPr>
          <w:rFonts w:eastAsia="Times New Roman" w:cs="Arial"/>
        </w:rPr>
      </w:pPr>
      <w:r w:rsidRPr="003E1644">
        <w:rPr>
          <w:rFonts w:ascii="Diodrum Semibold" w:eastAsia="Times New Roman" w:hAnsi="Diodrum Semibold" w:cs="Arial"/>
        </w:rPr>
        <w:t>V2H</w:t>
      </w:r>
      <w:r w:rsidRPr="003E1644">
        <w:rPr>
          <w:rFonts w:eastAsia="Times New Roman" w:cs="Arial"/>
          <w:b/>
          <w:bCs/>
        </w:rPr>
        <w:t xml:space="preserve"> </w:t>
      </w:r>
      <w:r w:rsidRPr="003E1644">
        <w:rPr>
          <w:rFonts w:eastAsia="Times New Roman" w:cs="Arial"/>
        </w:rPr>
        <w:t>is viewed as the most viable near-term pathway due to direct customer value.</w:t>
      </w:r>
    </w:p>
    <w:p w14:paraId="7180B94B" w14:textId="77777777" w:rsidR="00D976DD" w:rsidRPr="003E1644" w:rsidRDefault="00D976DD" w:rsidP="00D976DD">
      <w:pPr>
        <w:numPr>
          <w:ilvl w:val="0"/>
          <w:numId w:val="19"/>
        </w:numPr>
        <w:spacing w:before="40" w:after="40"/>
        <w:rPr>
          <w:rFonts w:eastAsia="Times New Roman" w:cs="Arial"/>
        </w:rPr>
      </w:pPr>
      <w:r w:rsidRPr="003E1644">
        <w:rPr>
          <w:rFonts w:ascii="Diodrum Semibold" w:eastAsia="Times New Roman" w:hAnsi="Diodrum Semibold" w:cs="Arial"/>
        </w:rPr>
        <w:t>V2B</w:t>
      </w:r>
      <w:r w:rsidRPr="003E1644">
        <w:rPr>
          <w:rFonts w:eastAsia="Times New Roman" w:cs="Arial"/>
          <w:b/>
          <w:bCs/>
        </w:rPr>
        <w:t xml:space="preserve"> </w:t>
      </w:r>
      <w:r w:rsidRPr="003E1644">
        <w:rPr>
          <w:rFonts w:eastAsia="Times New Roman" w:cs="Arial"/>
        </w:rPr>
        <w:t>may lag where backup generation already exists.</w:t>
      </w:r>
    </w:p>
    <w:p w14:paraId="7FDFF54B" w14:textId="548D25E3" w:rsidR="00D976DD" w:rsidRPr="003E1644" w:rsidRDefault="00D976DD" w:rsidP="00D976DD">
      <w:pPr>
        <w:numPr>
          <w:ilvl w:val="0"/>
          <w:numId w:val="19"/>
        </w:numPr>
        <w:spacing w:before="40" w:after="40"/>
        <w:rPr>
          <w:rFonts w:eastAsia="Times New Roman" w:cs="Arial"/>
        </w:rPr>
      </w:pPr>
      <w:r w:rsidRPr="003E1644">
        <w:rPr>
          <w:rFonts w:ascii="Diodrum Semibold" w:eastAsia="Times New Roman" w:hAnsi="Diodrum Semibold" w:cs="Arial"/>
        </w:rPr>
        <w:t xml:space="preserve">V2G </w:t>
      </w:r>
      <w:r w:rsidRPr="003E1644">
        <w:rPr>
          <w:rFonts w:eastAsia="Times New Roman" w:cs="Arial"/>
        </w:rPr>
        <w:t xml:space="preserve">could become compelling for fleets if compensation and operational rules become workable. </w:t>
      </w:r>
    </w:p>
    <w:p w14:paraId="70E8F6E5" w14:textId="606C6392" w:rsidR="00064A89" w:rsidRPr="003E1644" w:rsidRDefault="00D976DD" w:rsidP="00D7177F">
      <w:pPr>
        <w:rPr>
          <w:rFonts w:ascii="Diodrum Semibold" w:eastAsia="Times New Roman" w:hAnsi="Diodrum Semibold" w:cs="Arial"/>
        </w:rPr>
      </w:pPr>
      <w:r w:rsidRPr="003E1644">
        <w:rPr>
          <w:rFonts w:ascii="Diodrum Semibold" w:eastAsia="Times New Roman" w:hAnsi="Diodrum Semibold" w:cs="Arial"/>
        </w:rPr>
        <w:t>Key Takeaway: Technical maturation and credible economic frameworks are prerequisites to scale.</w:t>
      </w:r>
    </w:p>
    <w:p w14:paraId="266AC9D1" w14:textId="18FA994B" w:rsidR="00593941" w:rsidRPr="003E1644" w:rsidRDefault="00593941" w:rsidP="003E1644">
      <w:pPr>
        <w:pStyle w:val="Heading4"/>
      </w:pPr>
      <w:r w:rsidRPr="003E1644">
        <w:t xml:space="preserve">Phase 3 </w:t>
      </w:r>
      <w:r w:rsidR="003E1644">
        <w:t>S</w:t>
      </w:r>
      <w:r w:rsidRPr="003E1644">
        <w:t>ummary: National Quantitative Web-Panel Survey</w:t>
      </w:r>
    </w:p>
    <w:p w14:paraId="04BCCC01" w14:textId="3D0578E8" w:rsidR="00E02648" w:rsidRPr="003E1644" w:rsidRDefault="00E02648" w:rsidP="00E02648">
      <w:pPr>
        <w:spacing w:before="60"/>
        <w:rPr>
          <w:rFonts w:eastAsia="Times New Roman" w:cs="Arial"/>
        </w:rPr>
      </w:pPr>
      <w:r w:rsidRPr="003E1644">
        <w:rPr>
          <w:rFonts w:eastAsia="Times New Roman" w:cs="Arial"/>
        </w:rPr>
        <w:t>Nationally,</w:t>
      </w:r>
      <w:r w:rsidR="00124045" w:rsidRPr="003E1644">
        <w:rPr>
          <w:rFonts w:eastAsia="Times New Roman" w:cs="Arial"/>
        </w:rPr>
        <w:t xml:space="preserve"> among EV Owners and Intenders,</w:t>
      </w:r>
      <w:r w:rsidRPr="003E1644">
        <w:rPr>
          <w:rFonts w:eastAsia="Times New Roman" w:cs="Arial"/>
        </w:rPr>
        <w:t xml:space="preserve"> </w:t>
      </w:r>
      <w:r w:rsidRPr="00947091">
        <w:rPr>
          <w:rFonts w:ascii="Diodrum Semibold" w:eastAsia="Times New Roman" w:hAnsi="Diodrum Semibold" w:cs="Arial"/>
        </w:rPr>
        <w:t>awareness of V2X is moderate but current usage is extremely limited</w:t>
      </w:r>
      <w:r w:rsidRPr="003E1644">
        <w:rPr>
          <w:rFonts w:eastAsia="Times New Roman" w:cs="Arial"/>
        </w:rPr>
        <w:t xml:space="preserve">. Among residential </w:t>
      </w:r>
      <w:r w:rsidR="001701DF" w:rsidRPr="003E1644">
        <w:rPr>
          <w:rFonts w:eastAsia="Times New Roman" w:cs="Arial"/>
        </w:rPr>
        <w:t>EV Owners and Intenders</w:t>
      </w:r>
      <w:r w:rsidRPr="003E1644">
        <w:rPr>
          <w:rFonts w:eastAsia="Times New Roman" w:cs="Arial"/>
        </w:rPr>
        <w:t>, 52% report being very or somewhat familiar, while business familiarity reaches 74%. Initial interest is strong but declines when cost is introduced—particularly among residential customers, where interest drops from 82% prior to cost information to 63% after. Businesses demonstrate stronger and more cost-resilient interest (89% pre-cost vs. 88% post-cost), though upfront installation cost remains the primary barrier across segments.</w:t>
      </w:r>
    </w:p>
    <w:p w14:paraId="6B5BFA34" w14:textId="77777777" w:rsidR="00947091" w:rsidRDefault="00E02648" w:rsidP="00E02648">
      <w:pPr>
        <w:spacing w:before="60"/>
        <w:rPr>
          <w:rFonts w:eastAsia="Times New Roman" w:cs="Arial"/>
        </w:rPr>
      </w:pPr>
      <w:r w:rsidRPr="00947091">
        <w:rPr>
          <w:rFonts w:ascii="Diodrum Semibold" w:eastAsia="Times New Roman" w:hAnsi="Diodrum Semibold" w:cs="Arial"/>
        </w:rPr>
        <w:t>Among residential EV Owners and Intenders, familiarity is higher for V2H than V2G, yet actual usage remains rare</w:t>
      </w:r>
      <w:r w:rsidRPr="003E1644">
        <w:rPr>
          <w:rFonts w:eastAsia="Times New Roman" w:cs="Arial"/>
        </w:rPr>
        <w:t xml:space="preserve">. Special segments (LI, R3, EJ) show slightly lower familiarity, indicating an early equity awareness gap. </w:t>
      </w:r>
    </w:p>
    <w:p w14:paraId="235C6802" w14:textId="161CD675" w:rsidR="00E02648" w:rsidRPr="003E1644" w:rsidRDefault="00E02648" w:rsidP="00E02648">
      <w:pPr>
        <w:spacing w:before="60"/>
        <w:rPr>
          <w:rFonts w:eastAsia="Times New Roman" w:cs="Arial"/>
        </w:rPr>
      </w:pPr>
      <w:r w:rsidRPr="003E1644">
        <w:rPr>
          <w:rFonts w:eastAsia="Times New Roman" w:cs="Arial"/>
        </w:rPr>
        <w:t>Across audiences, the value proposition is consistent: backup power during outages and bill management through peak-rate optimization dominate as primary drivers, while upfront installation cost is the primary limiter.</w:t>
      </w:r>
    </w:p>
    <w:p w14:paraId="6D466044" w14:textId="77777777" w:rsidR="00E02648" w:rsidRPr="003E1644" w:rsidRDefault="00E02648" w:rsidP="00E02648">
      <w:pPr>
        <w:spacing w:before="60"/>
        <w:rPr>
          <w:rFonts w:eastAsia="Times New Roman" w:cs="Arial"/>
        </w:rPr>
      </w:pPr>
      <w:r w:rsidRPr="003E1644">
        <w:rPr>
          <w:rFonts w:eastAsia="Times New Roman" w:cs="Arial"/>
        </w:rPr>
        <w:lastRenderedPageBreak/>
        <w:t>Trusted education channels include automaker websites, utilities, and online sources, reinforcing the importance of coordinated messaging.</w:t>
      </w:r>
    </w:p>
    <w:p w14:paraId="41037250" w14:textId="4D2FCF4C" w:rsidR="00E02648" w:rsidRPr="00947091" w:rsidRDefault="006716B9" w:rsidP="00E02648">
      <w:pPr>
        <w:spacing w:before="60"/>
        <w:rPr>
          <w:rFonts w:ascii="Diodrum Semibold" w:eastAsia="Times New Roman" w:hAnsi="Diodrum Semibold" w:cs="Arial"/>
        </w:rPr>
      </w:pPr>
      <w:r w:rsidRPr="00947091">
        <w:rPr>
          <w:rFonts w:ascii="Diodrum Semibold" w:eastAsia="Times New Roman" w:hAnsi="Diodrum Semibold" w:cs="Arial"/>
        </w:rPr>
        <w:t>National</w:t>
      </w:r>
      <w:r w:rsidR="00124045" w:rsidRPr="00947091">
        <w:rPr>
          <w:rFonts w:ascii="Diodrum Semibold" w:eastAsia="Times New Roman" w:hAnsi="Diodrum Semibold" w:cs="Arial"/>
        </w:rPr>
        <w:t xml:space="preserve"> EV Owner and Intender</w:t>
      </w:r>
      <w:r w:rsidRPr="00947091">
        <w:rPr>
          <w:rFonts w:ascii="Diodrum Semibold" w:eastAsia="Times New Roman" w:hAnsi="Diodrum Semibold" w:cs="Arial"/>
        </w:rPr>
        <w:t xml:space="preserve"> interest exists, but cost sensitivity—especially among residential customers—is the central gating factor.</w:t>
      </w:r>
    </w:p>
    <w:p w14:paraId="12054EEF" w14:textId="3B2287E3" w:rsidR="00593941" w:rsidRPr="00947091" w:rsidRDefault="00593941" w:rsidP="00947091">
      <w:pPr>
        <w:pStyle w:val="Heading4"/>
      </w:pPr>
      <w:r w:rsidRPr="00947091">
        <w:t xml:space="preserve">Phase 4 </w:t>
      </w:r>
      <w:r w:rsidR="00947091">
        <w:t>S</w:t>
      </w:r>
      <w:r w:rsidRPr="00947091">
        <w:t>ummary: ComEd Customer Qualitative Research</w:t>
      </w:r>
    </w:p>
    <w:p w14:paraId="01BB4012" w14:textId="696FAFF0" w:rsidR="00044E3A" w:rsidRPr="00947091" w:rsidRDefault="00044E3A" w:rsidP="00044E3A">
      <w:pPr>
        <w:spacing w:before="60"/>
        <w:rPr>
          <w:rFonts w:ascii="Diodrum Semibold" w:eastAsia="Times New Roman" w:hAnsi="Diodrum Semibold" w:cs="Arial"/>
        </w:rPr>
      </w:pPr>
      <w:r w:rsidRPr="003E1644">
        <w:rPr>
          <w:rFonts w:eastAsia="Times New Roman" w:cs="Arial"/>
        </w:rPr>
        <w:t xml:space="preserve">Within ComEd’s territory, qualitative findings deepen the understanding of the relationship between perceived value and economic feasibility. </w:t>
      </w:r>
      <w:r w:rsidRPr="00947091">
        <w:rPr>
          <w:rFonts w:ascii="Diodrum Semibold" w:eastAsia="Times New Roman" w:hAnsi="Diodrum Semibold" w:cs="Arial"/>
        </w:rPr>
        <w:t>Residential customers gravitate toward V2H</w:t>
      </w:r>
      <w:r w:rsidRPr="003E1644">
        <w:rPr>
          <w:rFonts w:eastAsia="Times New Roman" w:cs="Arial"/>
        </w:rPr>
        <w:t xml:space="preserve"> because it offers tangible resilience benefits, particularly backup power. In contrast, </w:t>
      </w:r>
      <w:r w:rsidRPr="00947091">
        <w:rPr>
          <w:rFonts w:ascii="Diodrum Semibold" w:eastAsia="Times New Roman" w:hAnsi="Diodrum Semibold" w:cs="Arial"/>
        </w:rPr>
        <w:t>V2G introduces stronger concerns around control, fairness, and complexity.</w:t>
      </w:r>
    </w:p>
    <w:p w14:paraId="1364F540" w14:textId="77777777" w:rsidR="00044E3A" w:rsidRPr="003E1644" w:rsidRDefault="00044E3A" w:rsidP="00044E3A">
      <w:pPr>
        <w:spacing w:before="60"/>
        <w:rPr>
          <w:rFonts w:eastAsia="Times New Roman" w:cs="Arial"/>
        </w:rPr>
      </w:pPr>
      <w:r w:rsidRPr="003E1644">
        <w:rPr>
          <w:rFonts w:eastAsia="Times New Roman" w:cs="Arial"/>
        </w:rPr>
        <w:t xml:space="preserve">Across both residential and business segments, adoption consistently hinges on three conditions: affordable upfront cost, clear and reasonable payback expectations (often </w:t>
      </w:r>
      <w:r w:rsidRPr="00947091">
        <w:rPr>
          <w:rFonts w:ascii="Diodrum Semibold" w:eastAsia="Times New Roman" w:hAnsi="Diodrum Semibold" w:cs="Arial"/>
        </w:rPr>
        <w:t>five to ten years</w:t>
      </w:r>
      <w:r w:rsidRPr="003E1644">
        <w:rPr>
          <w:rFonts w:eastAsia="Times New Roman" w:cs="Arial"/>
        </w:rPr>
        <w:t xml:space="preserve"> for residential and </w:t>
      </w:r>
      <w:r w:rsidRPr="00947091">
        <w:rPr>
          <w:rFonts w:ascii="Diodrum Semibold" w:eastAsia="Times New Roman" w:hAnsi="Diodrum Semibold" w:cs="Arial"/>
        </w:rPr>
        <w:t>three to five years</w:t>
      </w:r>
      <w:r w:rsidRPr="003E1644">
        <w:rPr>
          <w:rFonts w:eastAsia="Times New Roman" w:cs="Arial"/>
        </w:rPr>
        <w:t xml:space="preserve"> for business), and reassurance regarding battery durability and day-to-day usability.</w:t>
      </w:r>
    </w:p>
    <w:p w14:paraId="517C1C15" w14:textId="77777777" w:rsidR="00044E3A" w:rsidRPr="003E1644" w:rsidRDefault="00044E3A" w:rsidP="00044E3A">
      <w:pPr>
        <w:spacing w:before="60"/>
        <w:rPr>
          <w:rFonts w:eastAsia="Times New Roman" w:cs="Arial"/>
        </w:rPr>
      </w:pPr>
      <w:r w:rsidRPr="003E1644">
        <w:rPr>
          <w:rFonts w:eastAsia="Times New Roman" w:cs="Arial"/>
        </w:rPr>
        <w:t>Business participants evaluate V2X primarily through an ROI and operational lens. Many already have backup solutions and are hesitant to invest in infrastructure that is non-transferable, particularly in leased facilities. School districts stand out as a potentially viable early segment due to electrification mandates and available funding that may offset cost barriers.</w:t>
      </w:r>
    </w:p>
    <w:p w14:paraId="5168DF66" w14:textId="77777777" w:rsidR="00044E3A" w:rsidRPr="003E1644" w:rsidRDefault="00044E3A" w:rsidP="00044E3A">
      <w:pPr>
        <w:spacing w:before="60"/>
        <w:rPr>
          <w:rFonts w:eastAsia="Times New Roman" w:cs="Arial"/>
        </w:rPr>
      </w:pPr>
      <w:r w:rsidRPr="003E1644">
        <w:rPr>
          <w:rFonts w:eastAsia="Times New Roman" w:cs="Arial"/>
        </w:rPr>
        <w:t xml:space="preserve">Program design implications are clear: </w:t>
      </w:r>
      <w:r w:rsidRPr="00947091">
        <w:rPr>
          <w:rFonts w:ascii="Diodrum Semibold" w:eastAsia="Times New Roman" w:hAnsi="Diodrum Semibold" w:cs="Arial"/>
        </w:rPr>
        <w:t>adoption becomes substantially more attractive when charger and installation costs are covered</w:t>
      </w:r>
      <w:r w:rsidRPr="003E1644">
        <w:rPr>
          <w:rFonts w:eastAsia="Times New Roman" w:cs="Arial"/>
        </w:rPr>
        <w:t>, when autonomy protections are embedded (such as minimum battery reserves and override capability), and when savings and compensation are transparently reported.</w:t>
      </w:r>
    </w:p>
    <w:p w14:paraId="6EE43759" w14:textId="5C079641" w:rsidR="00044E3A" w:rsidRPr="00947091" w:rsidRDefault="00044E3A" w:rsidP="00044E3A">
      <w:pPr>
        <w:spacing w:before="60"/>
        <w:rPr>
          <w:rFonts w:ascii="Diodrum Semibold" w:eastAsia="Times New Roman" w:hAnsi="Diodrum Semibold" w:cs="Arial"/>
        </w:rPr>
      </w:pPr>
      <w:r w:rsidRPr="00947091">
        <w:rPr>
          <w:rFonts w:ascii="Diodrum Semibold" w:eastAsia="Times New Roman" w:hAnsi="Diodrum Semibold" w:cs="Arial"/>
        </w:rPr>
        <w:t>Perceived value is present, but economic feasibility and customer control protections determine real-world participation.</w:t>
      </w:r>
    </w:p>
    <w:p w14:paraId="22D1F641" w14:textId="3993FF31" w:rsidR="00593941" w:rsidRPr="00947091" w:rsidRDefault="00593941" w:rsidP="00947091">
      <w:pPr>
        <w:pStyle w:val="Heading4"/>
      </w:pPr>
      <w:r w:rsidRPr="00947091">
        <w:t xml:space="preserve">Phase 5 </w:t>
      </w:r>
      <w:r w:rsidR="00947091">
        <w:t>S</w:t>
      </w:r>
      <w:r w:rsidRPr="00947091">
        <w:t>ummary: ComEd Customer Quantitative Survey</w:t>
      </w:r>
    </w:p>
    <w:p w14:paraId="5D2231C8" w14:textId="065E323C" w:rsidR="002D608C" w:rsidRPr="003E1644" w:rsidRDefault="002D608C" w:rsidP="002D608C">
      <w:pPr>
        <w:spacing w:before="60"/>
        <w:rPr>
          <w:rFonts w:eastAsia="Times New Roman" w:cs="Arial"/>
        </w:rPr>
      </w:pPr>
      <w:r w:rsidRPr="003E1644">
        <w:rPr>
          <w:rFonts w:eastAsia="Times New Roman" w:cs="Arial"/>
        </w:rPr>
        <w:t xml:space="preserve">Phase 5 confirms that </w:t>
      </w:r>
      <w:r w:rsidRPr="00947091">
        <w:rPr>
          <w:rFonts w:ascii="Diodrum Semibold" w:eastAsia="Times New Roman" w:hAnsi="Diodrum Semibold" w:cs="Arial"/>
        </w:rPr>
        <w:t xml:space="preserve">within ComEd’s service territory, awareness and interest are </w:t>
      </w:r>
      <w:r w:rsidR="001701DF" w:rsidRPr="00947091">
        <w:rPr>
          <w:rFonts w:ascii="Diodrum Semibold" w:eastAsia="Times New Roman" w:hAnsi="Diodrum Semibold" w:cs="Arial"/>
        </w:rPr>
        <w:t>very limited</w:t>
      </w:r>
      <w:r w:rsidRPr="003E1644">
        <w:rPr>
          <w:rFonts w:eastAsia="Times New Roman" w:cs="Arial"/>
        </w:rPr>
        <w:t xml:space="preserve">. Only 19% of residential and 17% of business customers report familiarity. Interest is limited, 8% among </w:t>
      </w:r>
      <w:r w:rsidR="003D31C1" w:rsidRPr="003E1644">
        <w:rPr>
          <w:rFonts w:eastAsia="Times New Roman" w:cs="Arial"/>
        </w:rPr>
        <w:t>R</w:t>
      </w:r>
      <w:r w:rsidRPr="003E1644">
        <w:rPr>
          <w:rFonts w:eastAsia="Times New Roman" w:cs="Arial"/>
        </w:rPr>
        <w:t xml:space="preserve">esidential and 2% among </w:t>
      </w:r>
      <w:r w:rsidR="003D31C1" w:rsidRPr="003E1644">
        <w:rPr>
          <w:rFonts w:eastAsia="Times New Roman" w:cs="Arial"/>
        </w:rPr>
        <w:t>B</w:t>
      </w:r>
      <w:r w:rsidRPr="003E1644">
        <w:rPr>
          <w:rFonts w:eastAsia="Times New Roman" w:cs="Arial"/>
        </w:rPr>
        <w:t>usiness customers after cost information is introduced.</w:t>
      </w:r>
    </w:p>
    <w:p w14:paraId="440D43B8" w14:textId="77777777" w:rsidR="002D608C" w:rsidRPr="003E1644" w:rsidRDefault="002D608C" w:rsidP="002D608C">
      <w:pPr>
        <w:spacing w:before="60"/>
        <w:rPr>
          <w:rFonts w:eastAsia="Times New Roman" w:cs="Arial"/>
        </w:rPr>
      </w:pPr>
      <w:r w:rsidRPr="003E1644">
        <w:rPr>
          <w:rFonts w:eastAsia="Times New Roman" w:cs="Arial"/>
        </w:rPr>
        <w:t xml:space="preserve">Even among higher-propensity segments, </w:t>
      </w:r>
      <w:r w:rsidRPr="00947091">
        <w:rPr>
          <w:rFonts w:ascii="Diodrum Semibold" w:eastAsia="Times New Roman" w:hAnsi="Diodrum Semibold" w:cs="Arial"/>
        </w:rPr>
        <w:t>interest declines meaningfully when costs are disclosed</w:t>
      </w:r>
      <w:r w:rsidRPr="003E1644">
        <w:rPr>
          <w:rFonts w:eastAsia="Times New Roman" w:cs="Arial"/>
        </w:rPr>
        <w:t xml:space="preserve">, confirming that the current economic landscape is the primary constraint. Among EV Owners, barriers center on </w:t>
      </w:r>
      <w:r w:rsidRPr="00947091">
        <w:rPr>
          <w:rFonts w:ascii="Diodrum Semibold" w:eastAsia="Times New Roman" w:hAnsi="Diodrum Semibold" w:cs="Arial"/>
        </w:rPr>
        <w:t>upfront cost</w:t>
      </w:r>
      <w:r w:rsidRPr="003E1644">
        <w:rPr>
          <w:rFonts w:eastAsia="Times New Roman" w:cs="Arial"/>
        </w:rPr>
        <w:t xml:space="preserve">, perceived lack of ComEd support, and </w:t>
      </w:r>
      <w:r w:rsidRPr="00947091">
        <w:rPr>
          <w:rFonts w:ascii="Diodrum Semibold" w:eastAsia="Times New Roman" w:hAnsi="Diodrum Semibold" w:cs="Arial"/>
        </w:rPr>
        <w:t>uncertain ROI</w:t>
      </w:r>
      <w:r w:rsidRPr="003E1644">
        <w:rPr>
          <w:rFonts w:eastAsia="Times New Roman" w:cs="Arial"/>
        </w:rPr>
        <w:t xml:space="preserve">. Among less-interested customers, </w:t>
      </w:r>
      <w:r w:rsidRPr="00947091">
        <w:rPr>
          <w:rFonts w:ascii="Diodrum Semibold" w:eastAsia="Times New Roman" w:hAnsi="Diodrum Semibold" w:cs="Arial"/>
        </w:rPr>
        <w:t>lack of perceived need</w:t>
      </w:r>
      <w:r w:rsidRPr="003E1644">
        <w:rPr>
          <w:rFonts w:eastAsia="Times New Roman" w:cs="Arial"/>
        </w:rPr>
        <w:t xml:space="preserve"> dominates, indicating that awareness-building alone will not drive broad adoption. For businesses, operational irrelevance further suppresses interest, and many indicate that tested incentives would not influence participation.</w:t>
      </w:r>
    </w:p>
    <w:p w14:paraId="2A9754A6" w14:textId="6D3D37FA" w:rsidR="00B020AC" w:rsidRPr="00947091" w:rsidRDefault="002D608C" w:rsidP="00947091">
      <w:pPr>
        <w:spacing w:before="60"/>
        <w:rPr>
          <w:rFonts w:ascii="Diodrum Semibold" w:eastAsia="Times New Roman" w:hAnsi="Diodrum Semibold" w:cs="Arial"/>
        </w:rPr>
      </w:pPr>
      <w:r w:rsidRPr="00947091">
        <w:rPr>
          <w:rFonts w:ascii="Diodrum Semibold" w:eastAsia="Times New Roman" w:hAnsi="Diodrum Semibold" w:cs="Arial"/>
        </w:rPr>
        <w:t>V2X is not mass-market ready in ComEd’s territory. Near-term advancement should focus on EV Owners and Intenders, lead with resilience value, reduce upfront risk, and provide structured support and transparent performance reporting to build confidence and refine program design.</w:t>
      </w:r>
    </w:p>
    <w:p w14:paraId="2E3750C3" w14:textId="21573BA1" w:rsidR="00E231E1" w:rsidRPr="00E231E1" w:rsidRDefault="00E231E1" w:rsidP="00947091">
      <w:pPr>
        <w:pStyle w:val="Heading2"/>
      </w:pPr>
      <w:r>
        <w:lastRenderedPageBreak/>
        <w:t>Recommendations</w:t>
      </w:r>
    </w:p>
    <w:p w14:paraId="23354F21" w14:textId="7A52C5E9" w:rsidR="00064A89" w:rsidRPr="00947091" w:rsidRDefault="00064A89" w:rsidP="005D6A3A">
      <w:pPr>
        <w:rPr>
          <w:rFonts w:ascii="Diodrum Semibold" w:eastAsia="Times New Roman" w:hAnsi="Diodrum Semibold" w:cs="Arial"/>
        </w:rPr>
      </w:pPr>
      <w:bookmarkStart w:id="11" w:name="_Toc13571911"/>
      <w:r w:rsidRPr="003E1644">
        <w:t xml:space="preserve">Across five research phases, a consistent conclusion emerges: </w:t>
      </w:r>
      <w:r w:rsidRPr="00947091">
        <w:rPr>
          <w:rFonts w:ascii="Diodrum Semibold" w:eastAsia="Times New Roman" w:hAnsi="Diodrum Semibold" w:cs="Arial"/>
        </w:rPr>
        <w:t>V2X technologies may be strategically important but are not close to ready for broad</w:t>
      </w:r>
      <w:r w:rsidR="00541FD6" w:rsidRPr="00947091">
        <w:rPr>
          <w:rFonts w:ascii="Diodrum Semibold" w:eastAsia="Times New Roman" w:hAnsi="Diodrum Semibold" w:cs="Arial"/>
        </w:rPr>
        <w:t>,</w:t>
      </w:r>
      <w:r w:rsidRPr="00947091">
        <w:rPr>
          <w:rFonts w:ascii="Diodrum Semibold" w:eastAsia="Times New Roman" w:hAnsi="Diodrum Semibold" w:cs="Arial"/>
        </w:rPr>
        <w:t xml:space="preserve"> near-term adoption within ComEd’s territory without targeted intervention.</w:t>
      </w:r>
    </w:p>
    <w:p w14:paraId="4F297024" w14:textId="77777777" w:rsidR="00064A89" w:rsidRPr="003E1644" w:rsidRDefault="00064A89" w:rsidP="005D6A3A">
      <w:r w:rsidRPr="003E1644">
        <w:t>The strongest customer value proposition is resilience (backup power). The most significant adoption barrier is upfront cost, compounded by uncertainty around standards, compensation structures, and long-term return on investment.</w:t>
      </w:r>
    </w:p>
    <w:p w14:paraId="4A829503" w14:textId="70F672A3" w:rsidR="00064A89" w:rsidRPr="003E1644" w:rsidRDefault="00064A89" w:rsidP="005D6A3A">
      <w:r w:rsidRPr="003E1644">
        <w:t>The following recommendations outline a potential path forward.</w:t>
      </w:r>
      <w:r w:rsidR="003D31C1" w:rsidRPr="003E1644">
        <w:t xml:space="preserve"> More detailed recommendations can be found in section </w:t>
      </w:r>
      <w:r w:rsidR="00773797" w:rsidRPr="003E1644">
        <w:t>4</w:t>
      </w:r>
      <w:r w:rsidR="003D31C1" w:rsidRPr="003E1644">
        <w:t>.0.</w:t>
      </w:r>
    </w:p>
    <w:p w14:paraId="73D5FA93" w14:textId="77777777" w:rsidR="00B020AC" w:rsidRPr="00B020AC" w:rsidRDefault="00B020AC" w:rsidP="00947091">
      <w:pPr>
        <w:pStyle w:val="Heading3"/>
        <w:rPr>
          <w:i/>
          <w:iCs/>
        </w:rPr>
      </w:pPr>
      <w:bookmarkStart w:id="12" w:name="_Toc13571914"/>
      <w:bookmarkStart w:id="13" w:name="_Toc15378748"/>
      <w:bookmarkEnd w:id="11"/>
      <w:r w:rsidRPr="00B020AC">
        <w:t xml:space="preserve">1. Adopt a Targeted Early-Adopter Strategy </w:t>
      </w:r>
    </w:p>
    <w:p w14:paraId="72FAD016" w14:textId="77777777" w:rsidR="00B020AC" w:rsidRPr="003E1644" w:rsidRDefault="00B020AC" w:rsidP="00B020AC">
      <w:r w:rsidRPr="003E1644">
        <w:t>Broad-based deployment is unlikely to generate meaningful participation given low awareness and strong cost sensitivity. Near-term efforts should prioritize segments most likely to adopt, EV Owners and Intenders, customers with distributed energy investments, and fleets or school districts with operational alignment.</w:t>
      </w:r>
    </w:p>
    <w:p w14:paraId="1B0DD168" w14:textId="77777777" w:rsidR="00B020AC" w:rsidRPr="00947091" w:rsidRDefault="00B020AC" w:rsidP="00B020AC">
      <w:pPr>
        <w:rPr>
          <w:rFonts w:ascii="Diodrum Semibold" w:hAnsi="Diodrum Semibold"/>
          <w:highlight w:val="magenta"/>
        </w:rPr>
      </w:pPr>
      <w:r w:rsidRPr="00947091">
        <w:rPr>
          <w:rFonts w:ascii="Diodrum Semibold" w:hAnsi="Diodrum Semibold"/>
        </w:rPr>
        <w:t xml:space="preserve"> Start narrow, learn quickly, and scale deliberately.</w:t>
      </w:r>
    </w:p>
    <w:p w14:paraId="0AFCA9C0" w14:textId="77777777" w:rsidR="00B020AC" w:rsidRPr="00B020AC" w:rsidRDefault="00B020AC" w:rsidP="00947091">
      <w:pPr>
        <w:pStyle w:val="Heading3"/>
        <w:rPr>
          <w:i/>
          <w:iCs/>
        </w:rPr>
      </w:pPr>
      <w:r w:rsidRPr="00B020AC">
        <w:t>2. Lead with Resilience and Position V2H as the Near-Term Entry Point</w:t>
      </w:r>
    </w:p>
    <w:p w14:paraId="1A08E56C" w14:textId="77777777" w:rsidR="00B020AC" w:rsidRPr="003E1644" w:rsidRDefault="00B020AC" w:rsidP="00B020AC">
      <w:r w:rsidRPr="003E1644">
        <w:t>Backup power is the clearest and most compelling customer benefit. V2H provides tangible value without requiring complex compensation models, while V2G introduces greater perceived complexity and control concerns.</w:t>
      </w:r>
    </w:p>
    <w:p w14:paraId="62561C53" w14:textId="77777777" w:rsidR="00B020AC" w:rsidRPr="00947091" w:rsidRDefault="00B020AC" w:rsidP="00B020AC">
      <w:pPr>
        <w:rPr>
          <w:rFonts w:ascii="Diodrum Semibold" w:hAnsi="Diodrum Semibold"/>
          <w:highlight w:val="magenta"/>
        </w:rPr>
      </w:pPr>
      <w:r w:rsidRPr="00947091">
        <w:rPr>
          <w:rFonts w:ascii="Diodrum Semibold" w:hAnsi="Diodrum Semibold"/>
        </w:rPr>
        <w:t>Anchor early programs in resilience to build trust and momentum before expanding to grid-facing applications.</w:t>
      </w:r>
    </w:p>
    <w:p w14:paraId="6462F632" w14:textId="77777777" w:rsidR="00B020AC" w:rsidRPr="00B020AC" w:rsidRDefault="00B020AC" w:rsidP="00947091">
      <w:pPr>
        <w:pStyle w:val="Heading3"/>
        <w:rPr>
          <w:i/>
          <w:iCs/>
        </w:rPr>
      </w:pPr>
      <w:r w:rsidRPr="00B020AC">
        <w:t>3. Reduce Cost Barriers to Unlock Participation</w:t>
      </w:r>
    </w:p>
    <w:p w14:paraId="438BD579" w14:textId="77777777" w:rsidR="00B020AC" w:rsidRPr="003E1644" w:rsidRDefault="00B020AC" w:rsidP="00B020AC">
      <w:r w:rsidRPr="003E1644">
        <w:t>Economics, not awareness, is the gating factor. Interest declines sharply once installation costs are introduced. Without meaningful cost mitigation, participation will remain limited to a narrow segment.</w:t>
      </w:r>
    </w:p>
    <w:p w14:paraId="66895FB7" w14:textId="77777777" w:rsidR="00B020AC" w:rsidRPr="003E1644" w:rsidRDefault="00B020AC" w:rsidP="00B020AC">
      <w:r w:rsidRPr="003E1644">
        <w:t>Strategic mechanisms may include rebates, financing options, OEM partnerships, or structured compensation approaches.</w:t>
      </w:r>
    </w:p>
    <w:p w14:paraId="6859A73A" w14:textId="77777777" w:rsidR="00D27904" w:rsidRDefault="00B020AC" w:rsidP="00D27904">
      <w:pPr>
        <w:rPr>
          <w:rFonts w:ascii="Diodrum Semibold" w:hAnsi="Diodrum Semibold"/>
        </w:rPr>
      </w:pPr>
      <w:r w:rsidRPr="00947091">
        <w:rPr>
          <w:rFonts w:ascii="Diodrum Semibold" w:hAnsi="Diodrum Semibold"/>
        </w:rPr>
        <w:t>Reduce first-cost risk to unlock adoption.</w:t>
      </w:r>
    </w:p>
    <w:p w14:paraId="341FA37E" w14:textId="5BC67A96" w:rsidR="00B020AC" w:rsidRPr="00B020AC" w:rsidRDefault="00B020AC" w:rsidP="00D27904">
      <w:pPr>
        <w:pStyle w:val="Heading3"/>
        <w:rPr>
          <w:i/>
          <w:iCs/>
        </w:rPr>
      </w:pPr>
      <w:r w:rsidRPr="00B020AC">
        <w:t>4. Design Programs That Preserve Customer Autonomy</w:t>
      </w:r>
    </w:p>
    <w:p w14:paraId="3CCFF4A3" w14:textId="77777777" w:rsidR="00B020AC" w:rsidRPr="003E1644" w:rsidRDefault="00B020AC" w:rsidP="00B020AC">
      <w:r w:rsidRPr="003E1644">
        <w:t>Loss-of-control concerns, particularly around V2G, are a consistent barrier. Customers require assurance that they can retain battery reserves, override participation, and clearly understand financial outcomes.</w:t>
      </w:r>
    </w:p>
    <w:p w14:paraId="461EC430" w14:textId="1D5DE921" w:rsidR="00B020AC" w:rsidRPr="00D27904" w:rsidRDefault="00B020AC">
      <w:pPr>
        <w:rPr>
          <w:rFonts w:ascii="Diodrum Semibold" w:hAnsi="Diodrum Semibold"/>
        </w:rPr>
      </w:pPr>
      <w:r w:rsidRPr="00D27904">
        <w:rPr>
          <w:rFonts w:ascii="Diodrum Semibold" w:hAnsi="Diodrum Semibold"/>
        </w:rPr>
        <w:t>Trust and autonomy must be embedded in program design.</w:t>
      </w:r>
    </w:p>
    <w:p w14:paraId="283B1625" w14:textId="14C0DE59" w:rsidR="00B020AC" w:rsidRPr="00B020AC" w:rsidRDefault="00B020AC" w:rsidP="00F76E03">
      <w:pPr>
        <w:pStyle w:val="Heading3"/>
        <w:rPr>
          <w:i/>
          <w:iCs/>
        </w:rPr>
      </w:pPr>
      <w:r w:rsidRPr="00B020AC">
        <w:lastRenderedPageBreak/>
        <w:t>5. Embed Equity in Program Architecture from the Outset</w:t>
      </w:r>
    </w:p>
    <w:p w14:paraId="7DCD42D5" w14:textId="77777777" w:rsidR="00B020AC" w:rsidRPr="003E1644" w:rsidRDefault="00B020AC" w:rsidP="00B020AC">
      <w:r w:rsidRPr="003E1644">
        <w:t>Current participation potential skews toward higher-income households due to access, affordability, and housing constraints. Without intentional design, V2X risks reinforcing inequities.</w:t>
      </w:r>
    </w:p>
    <w:p w14:paraId="4689EAD3" w14:textId="77777777" w:rsidR="00B020AC" w:rsidRPr="003E1644" w:rsidRDefault="00B020AC" w:rsidP="00B020AC">
      <w:r w:rsidRPr="003E1644">
        <w:t>Enhanced incentives, multi-family solutions, and community-based outreach should be integrated into program architecture from inception.</w:t>
      </w:r>
    </w:p>
    <w:p w14:paraId="6107A414" w14:textId="171F76D9" w:rsidR="00B020AC" w:rsidRPr="00F76E03" w:rsidRDefault="00B020AC" w:rsidP="00B020AC">
      <w:pPr>
        <w:rPr>
          <w:rFonts w:ascii="Diodrum Semibold" w:hAnsi="Diodrum Semibold"/>
        </w:rPr>
      </w:pPr>
      <w:r w:rsidRPr="00D27904">
        <w:rPr>
          <w:rFonts w:ascii="Diodrum Semibold" w:hAnsi="Diodrum Semibold"/>
        </w:rPr>
        <w:t xml:space="preserve">Equity </w:t>
      </w:r>
      <w:r w:rsidR="00B867A9" w:rsidRPr="00D27904">
        <w:rPr>
          <w:rFonts w:ascii="Diodrum Semibold" w:hAnsi="Diodrum Semibold"/>
        </w:rPr>
        <w:t>should</w:t>
      </w:r>
      <w:r w:rsidRPr="00D27904">
        <w:rPr>
          <w:rFonts w:ascii="Diodrum Semibold" w:hAnsi="Diodrum Semibold"/>
        </w:rPr>
        <w:t xml:space="preserve"> be built in, not layered on later.</w:t>
      </w:r>
    </w:p>
    <w:p w14:paraId="7D2E7797" w14:textId="77777777" w:rsidR="00B020AC" w:rsidRPr="00B020AC" w:rsidRDefault="00B020AC" w:rsidP="00F76E03">
      <w:pPr>
        <w:pStyle w:val="Heading3"/>
        <w:rPr>
          <w:i/>
          <w:iCs/>
        </w:rPr>
      </w:pPr>
      <w:r w:rsidRPr="00B020AC">
        <w:t>6. Coordinate Education with OEMs and Via Trusted Channels</w:t>
      </w:r>
    </w:p>
    <w:p w14:paraId="7AAEE45F" w14:textId="77777777" w:rsidR="00B020AC" w:rsidRPr="003E1644" w:rsidRDefault="00B020AC" w:rsidP="00B020AC">
      <w:r w:rsidRPr="003E1644">
        <w:t>Awareness remains low, and customers rely primarily on automakers and utilities for credible information. Messaging must be coordinated, transparent, and realistic, clearly explaining costs, benefits, compatibility, and participation rules.</w:t>
      </w:r>
    </w:p>
    <w:p w14:paraId="0C551156" w14:textId="111B49E0" w:rsidR="00B020AC" w:rsidRPr="00F76E03" w:rsidRDefault="00B020AC" w:rsidP="00B020AC">
      <w:pPr>
        <w:rPr>
          <w:rFonts w:ascii="Diodrum Semibold" w:hAnsi="Diodrum Semibold"/>
        </w:rPr>
      </w:pPr>
      <w:r w:rsidRPr="00D27904">
        <w:rPr>
          <w:rFonts w:ascii="Diodrum Semibold" w:hAnsi="Diodrum Semibold"/>
        </w:rPr>
        <w:t>Align OEM and utility education to reduce confusion and build informed adoption.</w:t>
      </w:r>
    </w:p>
    <w:p w14:paraId="3686BA0E" w14:textId="77777777" w:rsidR="00B020AC" w:rsidRPr="00B020AC" w:rsidRDefault="00B020AC" w:rsidP="00F2166B">
      <w:pPr>
        <w:pStyle w:val="Heading3"/>
        <w:rPr>
          <w:i/>
          <w:iCs/>
        </w:rPr>
      </w:pPr>
      <w:r w:rsidRPr="00B020AC">
        <w:t>7. Business Segment Strategy - Avoid a One-Size-Fits-All Approach</w:t>
      </w:r>
    </w:p>
    <w:p w14:paraId="699C6C32" w14:textId="77777777" w:rsidR="00B020AC" w:rsidRPr="003E1644" w:rsidRDefault="00B020AC" w:rsidP="00B020AC">
      <w:r w:rsidRPr="003E1644">
        <w:t>Business interest is limited and often constrained by operational relevance. Programs should focus on high-alignment segments such as municipal fleets and school districts, while avoiding a one-size-fits-all approach.</w:t>
      </w:r>
    </w:p>
    <w:p w14:paraId="76EA6409" w14:textId="01F34A32" w:rsidR="00B020AC" w:rsidRPr="00F2166B" w:rsidRDefault="00B020AC" w:rsidP="00F2166B">
      <w:pPr>
        <w:rPr>
          <w:rFonts w:ascii="Diodrum Semibold" w:hAnsi="Diodrum Semibold"/>
        </w:rPr>
      </w:pPr>
      <w:r w:rsidRPr="00D27904">
        <w:rPr>
          <w:rFonts w:ascii="Diodrum Semibold" w:hAnsi="Diodrum Semibold"/>
        </w:rPr>
        <w:t>Prioritize segments where economics and operational fit are strongest.</w:t>
      </w:r>
    </w:p>
    <w:p w14:paraId="190C9952" w14:textId="77777777" w:rsidR="00B020AC" w:rsidRPr="00B020AC" w:rsidRDefault="00B020AC" w:rsidP="00F2166B">
      <w:pPr>
        <w:pStyle w:val="Heading3"/>
        <w:rPr>
          <w:i/>
          <w:iCs/>
        </w:rPr>
      </w:pPr>
      <w:r w:rsidRPr="00B020AC">
        <w:t>8. Prepare the Regulatory and Technical Foundation for Long-Term Scale</w:t>
      </w:r>
    </w:p>
    <w:p w14:paraId="13628F92" w14:textId="77777777" w:rsidR="00B020AC" w:rsidRPr="003E1644" w:rsidRDefault="00B020AC" w:rsidP="00B020AC">
      <w:pPr>
        <w:spacing w:before="60"/>
      </w:pPr>
      <w:r w:rsidRPr="003E1644">
        <w:t>Broader viability is expected over the next 5–10 years as standards, interoperability, and compensation frameworks mature. Near-term pilots should serve as learning platforms to inform regulatory engagement, technical readiness, and infrastructure planning.</w:t>
      </w:r>
    </w:p>
    <w:p w14:paraId="472A9108" w14:textId="77777777" w:rsidR="00B020AC" w:rsidRPr="003E1644" w:rsidRDefault="00B020AC" w:rsidP="00D27904">
      <w:pPr>
        <w:rPr>
          <w:b/>
          <w:bCs/>
        </w:rPr>
      </w:pPr>
      <w:r w:rsidRPr="00D27904">
        <w:rPr>
          <w:rFonts w:ascii="Diodrum Semibold" w:hAnsi="Diodrum Semibold"/>
        </w:rPr>
        <w:t>Advance through disciplined pilots while preparing for future scale.</w:t>
      </w:r>
    </w:p>
    <w:bookmarkEnd w:id="3"/>
    <w:bookmarkEnd w:id="12"/>
    <w:bookmarkEnd w:id="13"/>
    <w:p w14:paraId="0F894AAE" w14:textId="06456E62" w:rsidR="00BD5B94" w:rsidRPr="003E1644" w:rsidRDefault="00BD5B94" w:rsidP="00A84DDA">
      <w:pPr>
        <w:spacing w:before="60"/>
        <w:rPr>
          <w:rFonts w:eastAsia="Times New Roman" w:cs="Arial"/>
        </w:rPr>
      </w:pPr>
    </w:p>
    <w:sectPr w:rsidR="00BD5B94" w:rsidRPr="003E1644" w:rsidSect="00380B20">
      <w:pgSz w:w="12240" w:h="15840"/>
      <w:pgMar w:top="1440" w:right="1440" w:bottom="108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8421E" w14:textId="77777777" w:rsidR="00AC79B6" w:rsidRDefault="00AC79B6" w:rsidP="00990391">
      <w:pPr>
        <w:spacing w:after="0" w:line="240" w:lineRule="auto"/>
      </w:pPr>
      <w:r>
        <w:separator/>
      </w:r>
    </w:p>
    <w:p w14:paraId="72CD6983" w14:textId="77777777" w:rsidR="00AC79B6" w:rsidRDefault="00AC79B6"/>
  </w:endnote>
  <w:endnote w:type="continuationSeparator" w:id="0">
    <w:p w14:paraId="6EC3AAF9" w14:textId="77777777" w:rsidR="00AC79B6" w:rsidRDefault="00AC79B6" w:rsidP="00990391">
      <w:pPr>
        <w:spacing w:after="0" w:line="240" w:lineRule="auto"/>
      </w:pPr>
      <w:r>
        <w:continuationSeparator/>
      </w:r>
    </w:p>
    <w:p w14:paraId="638308B1" w14:textId="77777777" w:rsidR="00AC79B6" w:rsidRDefault="00AC79B6"/>
  </w:endnote>
  <w:endnote w:type="continuationNotice" w:id="1">
    <w:p w14:paraId="2B0CB4DA" w14:textId="77777777" w:rsidR="00AC79B6" w:rsidRDefault="00AC79B6">
      <w:pPr>
        <w:spacing w:after="0" w:line="240" w:lineRule="auto"/>
      </w:pPr>
    </w:p>
    <w:p w14:paraId="2182C9B7" w14:textId="77777777" w:rsidR="00AC79B6" w:rsidRDefault="00AC79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odrum Light">
    <w:altName w:val="Calibri"/>
    <w:panose1 w:val="02000000000000000000"/>
    <w:charset w:val="00"/>
    <w:family w:val="modern"/>
    <w:notTrueType/>
    <w:pitch w:val="variable"/>
    <w:sig w:usb0="00000007" w:usb1="00000000" w:usb2="00000000" w:usb3="00000000" w:csb0="00000093" w:csb1="00000000"/>
  </w:font>
  <w:font w:name="Diodrum Medium">
    <w:altName w:val="Calibri"/>
    <w:panose1 w:val="02000000000000000000"/>
    <w:charset w:val="00"/>
    <w:family w:val="modern"/>
    <w:notTrueType/>
    <w:pitch w:val="variable"/>
    <w:sig w:usb0="00000007" w:usb1="00000000"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Century Schoolbook">
    <w:altName w:val="Calibri"/>
    <w:panose1 w:val="00000000000000000000"/>
    <w:charset w:val="00"/>
    <w:family w:val="modern"/>
    <w:notTrueType/>
    <w:pitch w:val="variable"/>
    <w:sig w:usb0="A000002F" w:usb1="40000048" w:usb2="00000000" w:usb3="00000000" w:csb0="00000111" w:csb1="00000000"/>
  </w:font>
  <w:font w:name="New Century Schoolbook LT Std R">
    <w:altName w:val="Cambria"/>
    <w:panose1 w:val="00000000000000000000"/>
    <w:charset w:val="4D"/>
    <w:family w:val="roman"/>
    <w:notTrueType/>
    <w:pitch w:val="variable"/>
    <w:sig w:usb0="00000003" w:usb1="00000000" w:usb2="00000000" w:usb3="00000000" w:csb0="00000001" w:csb1="00000000"/>
  </w:font>
  <w:font w:name="Avenir Next LT Pro">
    <w:charset w:val="00"/>
    <w:family w:val="swiss"/>
    <w:pitch w:val="variable"/>
    <w:sig w:usb0="800000EF" w:usb1="5000204A" w:usb2="00000000" w:usb3="00000000" w:csb0="00000093" w:csb1="00000000"/>
  </w:font>
  <w:font w:name="Diodrum">
    <w:panose1 w:val="02000000000000000000"/>
    <w:charset w:val="00"/>
    <w:family w:val="modern"/>
    <w:notTrueType/>
    <w:pitch w:val="variable"/>
    <w:sig w:usb0="00000007" w:usb1="00000000" w:usb2="00000000" w:usb3="00000000" w:csb0="00000093" w:csb1="00000000"/>
  </w:font>
  <w:font w:name="Diodrum Semibold">
    <w:panose1 w:val="02000000000000000000"/>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8F07E" w14:textId="03DB9041" w:rsidR="00AE3216" w:rsidRDefault="00AE3216">
    <w:pPr>
      <w:pStyle w:val="Footer"/>
      <w:jc w:val="right"/>
    </w:pPr>
  </w:p>
  <w:tbl>
    <w:tblPr>
      <w:tblStyle w:val="TableGrid"/>
      <w:tblW w:w="11610" w:type="dxa"/>
      <w:tblInd w:w="-1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5850"/>
    </w:tblGrid>
    <w:tr w:rsidR="00AE3216" w:rsidRPr="00E26686" w14:paraId="7DE89992" w14:textId="77777777" w:rsidTr="72AC8081">
      <w:trPr>
        <w:trHeight w:val="530"/>
      </w:trPr>
      <w:tc>
        <w:tcPr>
          <w:tcW w:w="5760" w:type="dxa"/>
          <w:vAlign w:val="bottom"/>
        </w:tcPr>
        <w:p w14:paraId="24B2A77F" w14:textId="7CFEF1A2" w:rsidR="00AE3216" w:rsidRPr="00E26686" w:rsidRDefault="72AC8081" w:rsidP="00E26686">
          <w:pPr>
            <w:pStyle w:val="Footer"/>
            <w:rPr>
              <w:rFonts w:ascii="New Century Schoolbook" w:hAnsi="New Century Schoolbook"/>
              <w:sz w:val="18"/>
              <w:szCs w:val="18"/>
            </w:rPr>
          </w:pPr>
          <w:r w:rsidRPr="72AC8081">
            <w:rPr>
              <w:rFonts w:ascii="New Century Schoolbook" w:hAnsi="New Century Schoolbook"/>
              <w:sz w:val="18"/>
              <w:szCs w:val="18"/>
            </w:rPr>
            <w:t>© Commonwealth Edison Company, 2021</w:t>
          </w:r>
        </w:p>
      </w:tc>
      <w:tc>
        <w:tcPr>
          <w:tcW w:w="5850" w:type="dxa"/>
          <w:vAlign w:val="bottom"/>
        </w:tcPr>
        <w:p w14:paraId="74D080C2" w14:textId="6F112768" w:rsidR="00AE3216" w:rsidRPr="00E26686" w:rsidRDefault="00AE3216" w:rsidP="00AE3216">
          <w:pPr>
            <w:pStyle w:val="Footer"/>
            <w:jc w:val="right"/>
            <w:rPr>
              <w:rFonts w:ascii="New Century Schoolbook" w:hAnsi="New Century Schoolbook"/>
              <w:sz w:val="18"/>
              <w:szCs w:val="18"/>
            </w:rPr>
          </w:pPr>
        </w:p>
      </w:tc>
    </w:tr>
  </w:tbl>
  <w:p w14:paraId="712104F3" w14:textId="0715019E" w:rsidR="000D2A1D" w:rsidRPr="00E26686" w:rsidRDefault="000D2A1D" w:rsidP="00E26686">
    <w:pPr>
      <w:pStyle w:val="Footer"/>
      <w:rPr>
        <w:rFonts w:ascii="New Century Schoolbook" w:hAnsi="New Century Schoolbook"/>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9438D" w14:textId="1F793E50" w:rsidR="00A407CF" w:rsidRPr="000938CF" w:rsidRDefault="00380B20" w:rsidP="00380B20">
    <w:pPr>
      <w:pStyle w:val="Footer"/>
      <w:tabs>
        <w:tab w:val="clear" w:pos="4680"/>
        <w:tab w:val="clear" w:pos="9360"/>
        <w:tab w:val="center" w:pos="4230"/>
      </w:tabs>
      <w:ind w:left="-900"/>
      <w:rPr>
        <w:rFonts w:ascii="New Century Schoolbook" w:hAnsi="New Century Schoolbook"/>
        <w:sz w:val="18"/>
        <w:szCs w:val="18"/>
      </w:rPr>
    </w:pPr>
    <w:r>
      <w:rPr>
        <w:rFonts w:ascii="New Century Schoolbook" w:hAnsi="New Century Schoolbook"/>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FAB3" w14:textId="6CFAAC1E" w:rsidR="008878BA" w:rsidRDefault="00380B20" w:rsidP="00380B20">
    <w:pPr>
      <w:pStyle w:val="Footer"/>
      <w:tabs>
        <w:tab w:val="left" w:pos="5591"/>
      </w:tabs>
    </w:pPr>
    <w:r>
      <w:tab/>
    </w:r>
    <w:bookmarkStart w:id="9" w:name="_Hlk39004067"/>
    <w:r>
      <w:tab/>
    </w:r>
    <w:r>
      <w:tab/>
    </w:r>
  </w:p>
  <w:tbl>
    <w:tblPr>
      <w:tblStyle w:val="TableGrid"/>
      <w:tblW w:w="94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2430"/>
    </w:tblGrid>
    <w:tr w:rsidR="008878BA" w:rsidRPr="00E26686" w14:paraId="6CC7DBFD" w14:textId="77777777" w:rsidTr="00A539B9">
      <w:trPr>
        <w:trHeight w:val="530"/>
      </w:trPr>
      <w:tc>
        <w:tcPr>
          <w:tcW w:w="7020" w:type="dxa"/>
          <w:vAlign w:val="center"/>
        </w:tcPr>
        <w:bookmarkEnd w:id="9"/>
        <w:p w14:paraId="2CCF82BB" w14:textId="78E270CE" w:rsidR="007A0673" w:rsidRPr="00BF78ED" w:rsidRDefault="007A0673" w:rsidP="00A539B9">
          <w:pPr>
            <w:spacing w:before="0" w:after="0"/>
            <w:rPr>
              <w:rFonts w:ascii="Diodrum" w:hAnsi="Diodrum" w:cs="Arial"/>
              <w:color w:val="595959" w:themeColor="text1" w:themeTint="A6"/>
              <w:sz w:val="16"/>
              <w:szCs w:val="16"/>
            </w:rPr>
          </w:pPr>
          <w:r w:rsidRPr="00BF78ED">
            <w:rPr>
              <w:rFonts w:ascii="Diodrum" w:hAnsi="Diodrum" w:cs="Arial"/>
              <w:color w:val="595959" w:themeColor="text1" w:themeTint="A6"/>
              <w:sz w:val="16"/>
              <w:szCs w:val="16"/>
            </w:rPr>
            <w:t>Terms and conditions apply. Offers are subject to change.</w:t>
          </w:r>
        </w:p>
        <w:p w14:paraId="2FD70565" w14:textId="1E1BAB28" w:rsidR="007A0673" w:rsidRPr="00BF78ED" w:rsidRDefault="007A0673" w:rsidP="00A539B9">
          <w:pPr>
            <w:spacing w:before="0" w:after="0"/>
            <w:rPr>
              <w:rFonts w:ascii="Diodrum" w:hAnsi="Diodrum" w:cs="Arial"/>
              <w:color w:val="595959" w:themeColor="text1" w:themeTint="A6"/>
              <w:sz w:val="16"/>
              <w:szCs w:val="16"/>
            </w:rPr>
          </w:pPr>
          <w:r w:rsidRPr="00BF78ED">
            <w:rPr>
              <w:rFonts w:ascii="Diodrum" w:hAnsi="Diodrum" w:cs="Arial"/>
              <w:color w:val="595959" w:themeColor="text1" w:themeTint="A6"/>
              <w:sz w:val="16"/>
              <w:szCs w:val="16"/>
            </w:rPr>
            <w:t>Actual savings will vary by customer’s energy usage and rate.</w:t>
          </w:r>
        </w:p>
        <w:p w14:paraId="081F04A9" w14:textId="77777777" w:rsidR="00A539B9" w:rsidRDefault="00E67669" w:rsidP="00A539B9">
          <w:pPr>
            <w:spacing w:before="0" w:after="0"/>
            <w:rPr>
              <w:rFonts w:ascii="Diodrum" w:hAnsi="Diodrum" w:cs="Arial"/>
              <w:color w:val="595959" w:themeColor="text1" w:themeTint="A6"/>
              <w:sz w:val="16"/>
              <w:szCs w:val="16"/>
            </w:rPr>
          </w:pPr>
          <w:r w:rsidRPr="00E67669">
            <w:rPr>
              <w:rFonts w:ascii="Calibri" w:hAnsi="Calibri" w:cs="Calibri"/>
              <w:color w:val="595959" w:themeColor="text1" w:themeTint="A6"/>
              <w:sz w:val="16"/>
              <w:szCs w:val="16"/>
            </w:rPr>
            <w:t>®</w:t>
          </w:r>
          <w:r w:rsidR="007A0673" w:rsidRPr="00E67669">
            <w:rPr>
              <w:rFonts w:ascii="Diodrum" w:hAnsi="Diodrum" w:cs="Arial"/>
              <w:color w:val="595959" w:themeColor="text1" w:themeTint="A6"/>
              <w:sz w:val="16"/>
              <w:szCs w:val="16"/>
            </w:rPr>
            <w:t>Commonwealth Edison Company, 2025</w:t>
          </w:r>
          <w:r w:rsidR="007A0673" w:rsidRPr="00BF78ED">
            <w:rPr>
              <w:rFonts w:ascii="Diodrum" w:hAnsi="Diodrum" w:cs="Arial"/>
              <w:color w:val="595959" w:themeColor="text1" w:themeTint="A6"/>
              <w:sz w:val="16"/>
              <w:szCs w:val="16"/>
            </w:rPr>
            <w:t xml:space="preserve">                </w:t>
          </w:r>
        </w:p>
        <w:p w14:paraId="0B6E7B93" w14:textId="0F429371" w:rsidR="008878BA" w:rsidRPr="00A539B9" w:rsidRDefault="007A0673" w:rsidP="00A539B9">
          <w:pPr>
            <w:spacing w:before="0" w:after="0"/>
            <w:rPr>
              <w:rFonts w:ascii="Diodrum" w:hAnsi="Diodrum" w:cs="Arial"/>
              <w:color w:val="595959" w:themeColor="text1" w:themeTint="A6"/>
              <w:sz w:val="16"/>
              <w:szCs w:val="16"/>
            </w:rPr>
          </w:pPr>
          <w:r w:rsidRPr="00BF78ED">
            <w:rPr>
              <w:rFonts w:ascii="Diodrum" w:hAnsi="Diodrum" w:cs="Arial"/>
              <w:color w:val="595959" w:themeColor="text1" w:themeTint="A6"/>
              <w:sz w:val="16"/>
              <w:szCs w:val="16"/>
            </w:rPr>
            <w:t>The ComEd</w:t>
          </w:r>
          <w:r w:rsidR="009D2AA9">
            <w:rPr>
              <w:rFonts w:ascii="Diodrum" w:hAnsi="Diodrum" w:cs="Arial"/>
              <w:color w:val="595959" w:themeColor="text1" w:themeTint="A6"/>
              <w:sz w:val="16"/>
              <w:szCs w:val="16"/>
            </w:rPr>
            <w:t xml:space="preserve"> Beneficial Electrification </w:t>
          </w:r>
          <w:r w:rsidRPr="00BF78ED">
            <w:rPr>
              <w:rFonts w:ascii="Diodrum" w:hAnsi="Diodrum" w:cs="Arial"/>
              <w:color w:val="595959" w:themeColor="text1" w:themeTint="A6"/>
              <w:sz w:val="16"/>
              <w:szCs w:val="16"/>
            </w:rPr>
            <w:t>Program is funded in compliance with state law.</w:t>
          </w:r>
        </w:p>
      </w:tc>
      <w:tc>
        <w:tcPr>
          <w:tcW w:w="2430" w:type="dxa"/>
          <w:vAlign w:val="center"/>
        </w:tcPr>
        <w:p w14:paraId="28876203" w14:textId="29224735" w:rsidR="008878BA" w:rsidRPr="00436835" w:rsidRDefault="00851661" w:rsidP="00A539B9">
          <w:pPr>
            <w:pStyle w:val="Footer"/>
            <w:spacing w:before="0"/>
            <w:jc w:val="right"/>
            <w:rPr>
              <w:rFonts w:ascii="Diodrum" w:hAnsi="Diodrum"/>
              <w:sz w:val="18"/>
              <w:szCs w:val="18"/>
            </w:rPr>
          </w:pPr>
          <w:r>
            <w:rPr>
              <w:rFonts w:ascii="Diodrum" w:hAnsi="Diodrum"/>
              <w:sz w:val="18"/>
              <w:szCs w:val="18"/>
            </w:rPr>
            <w:t xml:space="preserve">                                                                      </w:t>
          </w:r>
          <w:r w:rsidR="00E973D1" w:rsidRPr="00436835">
            <w:rPr>
              <w:rFonts w:ascii="Diodrum" w:hAnsi="Diodrum"/>
              <w:sz w:val="18"/>
              <w:szCs w:val="18"/>
            </w:rPr>
            <w:fldChar w:fldCharType="begin"/>
          </w:r>
          <w:r w:rsidR="00E973D1" w:rsidRPr="00436835">
            <w:rPr>
              <w:rFonts w:ascii="Diodrum" w:hAnsi="Diodrum"/>
              <w:sz w:val="18"/>
              <w:szCs w:val="18"/>
            </w:rPr>
            <w:instrText xml:space="preserve"> PAGE   \* MERGEFORMAT </w:instrText>
          </w:r>
          <w:r w:rsidR="00E973D1" w:rsidRPr="00436835">
            <w:rPr>
              <w:rFonts w:ascii="Diodrum" w:hAnsi="Diodrum"/>
              <w:sz w:val="18"/>
              <w:szCs w:val="18"/>
            </w:rPr>
            <w:fldChar w:fldCharType="separate"/>
          </w:r>
          <w:r w:rsidR="00E973D1" w:rsidRPr="00436835">
            <w:rPr>
              <w:rFonts w:ascii="Diodrum" w:hAnsi="Diodrum"/>
              <w:noProof/>
              <w:sz w:val="18"/>
              <w:szCs w:val="18"/>
            </w:rPr>
            <w:t>1</w:t>
          </w:r>
          <w:r w:rsidR="00E973D1" w:rsidRPr="00436835">
            <w:rPr>
              <w:rFonts w:ascii="Diodrum" w:hAnsi="Diodrum"/>
              <w:noProof/>
              <w:sz w:val="18"/>
              <w:szCs w:val="18"/>
            </w:rPr>
            <w:fldChar w:fldCharType="end"/>
          </w:r>
        </w:p>
      </w:tc>
    </w:tr>
  </w:tbl>
  <w:p w14:paraId="4A4F5D04" w14:textId="77777777" w:rsidR="008878BA" w:rsidRPr="00E26686" w:rsidRDefault="008878BA" w:rsidP="00E26686">
    <w:pPr>
      <w:pStyle w:val="Footer"/>
      <w:rPr>
        <w:rFonts w:ascii="New Century Schoolbook" w:hAnsi="New Century Schoolbook"/>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01BE3" w14:textId="0D0ADE22" w:rsidR="00831E38" w:rsidRPr="000938CF" w:rsidRDefault="00831E38" w:rsidP="001C0175">
    <w:pPr>
      <w:pStyle w:val="Footer"/>
      <w:ind w:left="-900"/>
      <w:rPr>
        <w:rFonts w:ascii="New Century Schoolbook" w:hAnsi="New Century Schoolbook"/>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5C763" w14:textId="77777777" w:rsidR="00AC79B6" w:rsidRDefault="00AC79B6" w:rsidP="00990391">
      <w:pPr>
        <w:spacing w:after="0" w:line="240" w:lineRule="auto"/>
      </w:pPr>
      <w:r>
        <w:separator/>
      </w:r>
    </w:p>
    <w:p w14:paraId="27EED38B" w14:textId="77777777" w:rsidR="00AC79B6" w:rsidRDefault="00AC79B6"/>
  </w:footnote>
  <w:footnote w:type="continuationSeparator" w:id="0">
    <w:p w14:paraId="0D32CFE9" w14:textId="77777777" w:rsidR="00AC79B6" w:rsidRDefault="00AC79B6" w:rsidP="00990391">
      <w:pPr>
        <w:spacing w:after="0" w:line="240" w:lineRule="auto"/>
      </w:pPr>
      <w:r>
        <w:continuationSeparator/>
      </w:r>
    </w:p>
    <w:p w14:paraId="715EE75F" w14:textId="77777777" w:rsidR="00AC79B6" w:rsidRDefault="00AC79B6"/>
  </w:footnote>
  <w:footnote w:type="continuationNotice" w:id="1">
    <w:p w14:paraId="6A7C7AD0" w14:textId="77777777" w:rsidR="00AC79B6" w:rsidRDefault="00AC79B6">
      <w:pPr>
        <w:spacing w:after="0" w:line="240" w:lineRule="auto"/>
      </w:pPr>
    </w:p>
    <w:p w14:paraId="4480754C" w14:textId="77777777" w:rsidR="00AC79B6" w:rsidRDefault="00AC79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C7DCC" w14:textId="77777777" w:rsidR="003938A1" w:rsidRDefault="00520045">
    <w:pPr>
      <w:pStyle w:val="Header"/>
    </w:pPr>
    <w:r>
      <w:rPr>
        <w:noProof/>
      </w:rPr>
      <w:drawing>
        <wp:anchor distT="0" distB="0" distL="114300" distR="114300" simplePos="0" relativeHeight="251658240" behindDoc="0" locked="0" layoutInCell="1" allowOverlap="1" wp14:anchorId="4E341602" wp14:editId="2D486814">
          <wp:simplePos x="0" y="0"/>
          <wp:positionH relativeFrom="margin">
            <wp:posOffset>-92839</wp:posOffset>
          </wp:positionH>
          <wp:positionV relativeFrom="paragraph">
            <wp:posOffset>-182880</wp:posOffset>
          </wp:positionV>
          <wp:extent cx="2371725" cy="501650"/>
          <wp:effectExtent l="0" t="0" r="3175" b="6350"/>
          <wp:wrapNone/>
          <wp:docPr id="2023412303" name="Picture 202341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imary-EE-Interim-Lockup_ComEd.jpg"/>
                  <pic:cNvPicPr/>
                </pic:nvPicPr>
                <pic:blipFill>
                  <a:blip r:embed="rId1">
                    <a:extLst>
                      <a:ext uri="{28A0092B-C50C-407E-A947-70E740481C1C}">
                        <a14:useLocalDpi xmlns:a14="http://schemas.microsoft.com/office/drawing/2010/main" val="0"/>
                      </a:ext>
                    </a:extLst>
                  </a:blip>
                  <a:stretch>
                    <a:fillRect/>
                  </a:stretch>
                </pic:blipFill>
                <pic:spPr>
                  <a:xfrm>
                    <a:off x="0" y="0"/>
                    <a:ext cx="2371725" cy="5016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132F7" w14:textId="03F03877" w:rsidR="002742B2" w:rsidRDefault="00493D87">
    <w:pPr>
      <w:pStyle w:val="Header"/>
    </w:pPr>
    <w:r w:rsidRPr="00493D87">
      <w:rPr>
        <w:noProof/>
      </w:rPr>
      <w:drawing>
        <wp:inline distT="0" distB="0" distL="0" distR="0" wp14:anchorId="31B2DFCF" wp14:editId="63DF6746">
          <wp:extent cx="3486637" cy="971686"/>
          <wp:effectExtent l="0" t="0" r="0" b="0"/>
          <wp:docPr id="92312968" name="Picture 1" descr="Logo of ComEd, an Exelon Company, alongside the text &quot;Smart Grid.&quot; The design features a circular, multicolored abstract symbol in blue, green, and purple tones next to the company name and service description in dark blue f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2968" name="Picture 1" descr="Logo of ComEd, an Exelon Company, alongside the text &quot;Smart Grid.&quot; The design features a circular, multicolored abstract symbol in blue, green, and purple tones next to the company name and service description in dark blue font."/>
                  <pic:cNvPicPr/>
                </pic:nvPicPr>
                <pic:blipFill>
                  <a:blip r:embed="rId1"/>
                  <a:stretch>
                    <a:fillRect/>
                  </a:stretch>
                </pic:blipFill>
                <pic:spPr>
                  <a:xfrm>
                    <a:off x="0" y="0"/>
                    <a:ext cx="3486637" cy="9716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3D14" w14:textId="1D748DB3" w:rsidR="006F6E99" w:rsidRDefault="00D81A92">
    <w:pPr>
      <w:pStyle w:val="Header"/>
    </w:pPr>
    <w:r>
      <w:rPr>
        <w:noProof/>
      </w:rPr>
      <w:drawing>
        <wp:anchor distT="0" distB="0" distL="114300" distR="114300" simplePos="0" relativeHeight="251659264" behindDoc="0" locked="0" layoutInCell="1" allowOverlap="1" wp14:anchorId="470C2468" wp14:editId="275026A9">
          <wp:simplePos x="0" y="0"/>
          <wp:positionH relativeFrom="margin">
            <wp:posOffset>14670</wp:posOffset>
          </wp:positionH>
          <wp:positionV relativeFrom="margin">
            <wp:posOffset>-718640</wp:posOffset>
          </wp:positionV>
          <wp:extent cx="1924050" cy="534964"/>
          <wp:effectExtent l="0" t="0" r="0" b="0"/>
          <wp:wrapSquare wrapText="bothSides"/>
          <wp:docPr id="1819876168" name="Picture 1" descr="Logo featuring a stylized circular design in gradient blue and purple next to the text &quot;comed&quot; with a tagline &quot;AN EXELON COMPANY&quot; beneath it. To the right, separated by a vertical line, is the text &quot;Smart Grid&quot; in bold blue font, representing ComEd's smart grid technology initi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876168" name="Picture 1" descr="Logo featuring a stylized circular design in gradient blue and purple next to the text &quot;comed&quot; with a tagline &quot;AN EXELON COMPANY&quot; beneath it. To the right, separated by a vertical line, is the text &quot;Smart Grid&quot; in bold blue font, representing ComEd's smart grid technology initiativ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53496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E6782"/>
    <w:multiLevelType w:val="multilevel"/>
    <w:tmpl w:val="691AA6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E68B4"/>
    <w:multiLevelType w:val="multilevel"/>
    <w:tmpl w:val="0ABAEC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557F2B"/>
    <w:multiLevelType w:val="multilevel"/>
    <w:tmpl w:val="C3E8512E"/>
    <w:lvl w:ilvl="0">
      <w:start w:val="1"/>
      <w:numFmt w:val="decimal"/>
      <w:lvlText w:val="%1.0"/>
      <w:lvlJc w:val="left"/>
      <w:pPr>
        <w:ind w:left="450" w:hanging="450"/>
      </w:pPr>
      <w:rPr>
        <w:rFonts w:hint="default"/>
      </w:rPr>
    </w:lvl>
    <w:lvl w:ilvl="1">
      <w:start w:val="1"/>
      <w:numFmt w:val="decimal"/>
      <w:lvlText w:val="%1.%2"/>
      <w:lvlJc w:val="left"/>
      <w:pPr>
        <w:ind w:left="1170" w:hanging="45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BA604F9"/>
    <w:multiLevelType w:val="multilevel"/>
    <w:tmpl w:val="DBBA0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E04181"/>
    <w:multiLevelType w:val="multilevel"/>
    <w:tmpl w:val="4942CC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43952"/>
    <w:multiLevelType w:val="multilevel"/>
    <w:tmpl w:val="9856C5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1234C"/>
    <w:multiLevelType w:val="multilevel"/>
    <w:tmpl w:val="AA585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8529DE"/>
    <w:multiLevelType w:val="multilevel"/>
    <w:tmpl w:val="BEDC86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8D77F2"/>
    <w:multiLevelType w:val="multilevel"/>
    <w:tmpl w:val="E7FE9E4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1E3887"/>
    <w:multiLevelType w:val="multilevel"/>
    <w:tmpl w:val="8604E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8D4F81"/>
    <w:multiLevelType w:val="multilevel"/>
    <w:tmpl w:val="BF28E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90347"/>
    <w:multiLevelType w:val="multilevel"/>
    <w:tmpl w:val="B5C61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459CA"/>
    <w:multiLevelType w:val="multilevel"/>
    <w:tmpl w:val="CF6AC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371D1D"/>
    <w:multiLevelType w:val="multilevel"/>
    <w:tmpl w:val="12E66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8974B5"/>
    <w:multiLevelType w:val="multilevel"/>
    <w:tmpl w:val="3E3C01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170B20"/>
    <w:multiLevelType w:val="multilevel"/>
    <w:tmpl w:val="FDF8A8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F705F0"/>
    <w:multiLevelType w:val="multilevel"/>
    <w:tmpl w:val="15001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0C7F61"/>
    <w:multiLevelType w:val="multilevel"/>
    <w:tmpl w:val="2124E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7D0B5A"/>
    <w:multiLevelType w:val="multilevel"/>
    <w:tmpl w:val="72582D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BD2E28"/>
    <w:multiLevelType w:val="multilevel"/>
    <w:tmpl w:val="C2E66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D73C1"/>
    <w:multiLevelType w:val="multilevel"/>
    <w:tmpl w:val="10C849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3A53B2"/>
    <w:multiLevelType w:val="multilevel"/>
    <w:tmpl w:val="21C4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471FA9"/>
    <w:multiLevelType w:val="multilevel"/>
    <w:tmpl w:val="A5D0B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497C6D"/>
    <w:multiLevelType w:val="multilevel"/>
    <w:tmpl w:val="9040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0F1F42"/>
    <w:multiLevelType w:val="multilevel"/>
    <w:tmpl w:val="A7DAD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3CE5C1F"/>
    <w:multiLevelType w:val="multilevel"/>
    <w:tmpl w:val="B318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5B67BFC"/>
    <w:multiLevelType w:val="multilevel"/>
    <w:tmpl w:val="6CF4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1538A2"/>
    <w:multiLevelType w:val="multilevel"/>
    <w:tmpl w:val="C036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B2D127C"/>
    <w:multiLevelType w:val="multilevel"/>
    <w:tmpl w:val="7FAC87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0C4351"/>
    <w:multiLevelType w:val="multilevel"/>
    <w:tmpl w:val="60F88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707F2F"/>
    <w:multiLevelType w:val="multilevel"/>
    <w:tmpl w:val="02B2D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0E78B8"/>
    <w:multiLevelType w:val="multilevel"/>
    <w:tmpl w:val="EAFEB5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B126880"/>
    <w:multiLevelType w:val="multilevel"/>
    <w:tmpl w:val="85CC5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8275C1"/>
    <w:multiLevelType w:val="multilevel"/>
    <w:tmpl w:val="799A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141F44"/>
    <w:multiLevelType w:val="multilevel"/>
    <w:tmpl w:val="3A3EC5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313916"/>
    <w:multiLevelType w:val="multilevel"/>
    <w:tmpl w:val="95A20E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1D1A6F"/>
    <w:multiLevelType w:val="multilevel"/>
    <w:tmpl w:val="77F44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CE243FD"/>
    <w:multiLevelType w:val="multilevel"/>
    <w:tmpl w:val="E39A2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D159C2"/>
    <w:multiLevelType w:val="multilevel"/>
    <w:tmpl w:val="5DBC8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6840677">
    <w:abstractNumId w:val="2"/>
  </w:num>
  <w:num w:numId="2" w16cid:durableId="2093813788">
    <w:abstractNumId w:val="13"/>
  </w:num>
  <w:num w:numId="3" w16cid:durableId="393355839">
    <w:abstractNumId w:val="10"/>
  </w:num>
  <w:num w:numId="4" w16cid:durableId="639655464">
    <w:abstractNumId w:val="25"/>
  </w:num>
  <w:num w:numId="5" w16cid:durableId="199243721">
    <w:abstractNumId w:val="32"/>
  </w:num>
  <w:num w:numId="6" w16cid:durableId="283461621">
    <w:abstractNumId w:val="21"/>
  </w:num>
  <w:num w:numId="7" w16cid:durableId="298345843">
    <w:abstractNumId w:val="23"/>
  </w:num>
  <w:num w:numId="8" w16cid:durableId="523634886">
    <w:abstractNumId w:val="24"/>
  </w:num>
  <w:num w:numId="9" w16cid:durableId="652416521">
    <w:abstractNumId w:val="20"/>
  </w:num>
  <w:num w:numId="10" w16cid:durableId="1095589886">
    <w:abstractNumId w:val="37"/>
  </w:num>
  <w:num w:numId="11" w16cid:durableId="1715614637">
    <w:abstractNumId w:val="29"/>
  </w:num>
  <w:num w:numId="12" w16cid:durableId="536357606">
    <w:abstractNumId w:val="14"/>
  </w:num>
  <w:num w:numId="13" w16cid:durableId="1703821195">
    <w:abstractNumId w:val="0"/>
  </w:num>
  <w:num w:numId="14" w16cid:durableId="970669038">
    <w:abstractNumId w:val="33"/>
  </w:num>
  <w:num w:numId="15" w16cid:durableId="1078480380">
    <w:abstractNumId w:val="8"/>
  </w:num>
  <w:num w:numId="16" w16cid:durableId="798034281">
    <w:abstractNumId w:val="11"/>
  </w:num>
  <w:num w:numId="17" w16cid:durableId="579556731">
    <w:abstractNumId w:val="19"/>
  </w:num>
  <w:num w:numId="18" w16cid:durableId="434399569">
    <w:abstractNumId w:val="9"/>
  </w:num>
  <w:num w:numId="19" w16cid:durableId="1579822915">
    <w:abstractNumId w:val="3"/>
  </w:num>
  <w:num w:numId="20" w16cid:durableId="2030253503">
    <w:abstractNumId w:val="26"/>
  </w:num>
  <w:num w:numId="21" w16cid:durableId="792288169">
    <w:abstractNumId w:val="6"/>
  </w:num>
  <w:num w:numId="22" w16cid:durableId="137578512">
    <w:abstractNumId w:val="38"/>
  </w:num>
  <w:num w:numId="23" w16cid:durableId="358701457">
    <w:abstractNumId w:val="28"/>
  </w:num>
  <w:num w:numId="24" w16cid:durableId="1862280729">
    <w:abstractNumId w:val="22"/>
  </w:num>
  <w:num w:numId="25" w16cid:durableId="1711997602">
    <w:abstractNumId w:val="27"/>
  </w:num>
  <w:num w:numId="26" w16cid:durableId="102190805">
    <w:abstractNumId w:val="16"/>
  </w:num>
  <w:num w:numId="27" w16cid:durableId="377051159">
    <w:abstractNumId w:val="7"/>
  </w:num>
  <w:num w:numId="28" w16cid:durableId="1694186203">
    <w:abstractNumId w:val="15"/>
  </w:num>
  <w:num w:numId="29" w16cid:durableId="566768758">
    <w:abstractNumId w:val="17"/>
  </w:num>
  <w:num w:numId="30" w16cid:durableId="2051491513">
    <w:abstractNumId w:val="30"/>
  </w:num>
  <w:num w:numId="31" w16cid:durableId="101922794">
    <w:abstractNumId w:val="34"/>
  </w:num>
  <w:num w:numId="32" w16cid:durableId="376904071">
    <w:abstractNumId w:val="12"/>
  </w:num>
  <w:num w:numId="33" w16cid:durableId="789711283">
    <w:abstractNumId w:val="18"/>
  </w:num>
  <w:num w:numId="34" w16cid:durableId="1687442417">
    <w:abstractNumId w:val="1"/>
  </w:num>
  <w:num w:numId="35" w16cid:durableId="1984850878">
    <w:abstractNumId w:val="4"/>
  </w:num>
  <w:num w:numId="36" w16cid:durableId="1056661726">
    <w:abstractNumId w:val="35"/>
  </w:num>
  <w:num w:numId="37" w16cid:durableId="1582909113">
    <w:abstractNumId w:val="5"/>
  </w:num>
  <w:num w:numId="38" w16cid:durableId="1770196470">
    <w:abstractNumId w:val="36"/>
  </w:num>
  <w:num w:numId="39" w16cid:durableId="1188298825">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2A3"/>
    <w:rsid w:val="00000468"/>
    <w:rsid w:val="00000BBC"/>
    <w:rsid w:val="00001C69"/>
    <w:rsid w:val="00012973"/>
    <w:rsid w:val="00016F4B"/>
    <w:rsid w:val="00016FA5"/>
    <w:rsid w:val="0002689B"/>
    <w:rsid w:val="0003787B"/>
    <w:rsid w:val="00044E3A"/>
    <w:rsid w:val="00046FEE"/>
    <w:rsid w:val="0005106F"/>
    <w:rsid w:val="00054E4B"/>
    <w:rsid w:val="00062CCB"/>
    <w:rsid w:val="00064A89"/>
    <w:rsid w:val="000733DD"/>
    <w:rsid w:val="00073B80"/>
    <w:rsid w:val="0007457E"/>
    <w:rsid w:val="00081522"/>
    <w:rsid w:val="00081C9E"/>
    <w:rsid w:val="00082807"/>
    <w:rsid w:val="000848D1"/>
    <w:rsid w:val="00086F92"/>
    <w:rsid w:val="0008736A"/>
    <w:rsid w:val="00087958"/>
    <w:rsid w:val="00090370"/>
    <w:rsid w:val="000938CF"/>
    <w:rsid w:val="00094477"/>
    <w:rsid w:val="000A2718"/>
    <w:rsid w:val="000A4C86"/>
    <w:rsid w:val="000A538C"/>
    <w:rsid w:val="000A5515"/>
    <w:rsid w:val="000A596B"/>
    <w:rsid w:val="000A702A"/>
    <w:rsid w:val="000A733C"/>
    <w:rsid w:val="000B0BB3"/>
    <w:rsid w:val="000B12A3"/>
    <w:rsid w:val="000B44F9"/>
    <w:rsid w:val="000C0688"/>
    <w:rsid w:val="000C07A9"/>
    <w:rsid w:val="000C338E"/>
    <w:rsid w:val="000C493F"/>
    <w:rsid w:val="000D0C3E"/>
    <w:rsid w:val="000D2A1D"/>
    <w:rsid w:val="000D3B2A"/>
    <w:rsid w:val="000E16FD"/>
    <w:rsid w:val="000E223A"/>
    <w:rsid w:val="000F0836"/>
    <w:rsid w:val="000F2AD2"/>
    <w:rsid w:val="000F5ECA"/>
    <w:rsid w:val="00100D65"/>
    <w:rsid w:val="00101A44"/>
    <w:rsid w:val="001037F6"/>
    <w:rsid w:val="001127C9"/>
    <w:rsid w:val="001169A1"/>
    <w:rsid w:val="001174B8"/>
    <w:rsid w:val="001212D0"/>
    <w:rsid w:val="00124045"/>
    <w:rsid w:val="00130212"/>
    <w:rsid w:val="00135CD7"/>
    <w:rsid w:val="00136F34"/>
    <w:rsid w:val="0013784E"/>
    <w:rsid w:val="001448B8"/>
    <w:rsid w:val="0014536C"/>
    <w:rsid w:val="00151164"/>
    <w:rsid w:val="00151A8C"/>
    <w:rsid w:val="00154595"/>
    <w:rsid w:val="00155E7F"/>
    <w:rsid w:val="00156B92"/>
    <w:rsid w:val="001701DF"/>
    <w:rsid w:val="00172087"/>
    <w:rsid w:val="00175E13"/>
    <w:rsid w:val="0017719D"/>
    <w:rsid w:val="001776F3"/>
    <w:rsid w:val="00187708"/>
    <w:rsid w:val="0019565A"/>
    <w:rsid w:val="00197124"/>
    <w:rsid w:val="00197C60"/>
    <w:rsid w:val="001B384A"/>
    <w:rsid w:val="001B7519"/>
    <w:rsid w:val="001C0175"/>
    <w:rsid w:val="001C0DD2"/>
    <w:rsid w:val="001C3107"/>
    <w:rsid w:val="001C5902"/>
    <w:rsid w:val="001C62BE"/>
    <w:rsid w:val="001D5F64"/>
    <w:rsid w:val="001E33F0"/>
    <w:rsid w:val="001E478F"/>
    <w:rsid w:val="001E4B5A"/>
    <w:rsid w:val="001F1BF0"/>
    <w:rsid w:val="001F3FD2"/>
    <w:rsid w:val="001F4939"/>
    <w:rsid w:val="001F5A95"/>
    <w:rsid w:val="001F7794"/>
    <w:rsid w:val="00200600"/>
    <w:rsid w:val="00203284"/>
    <w:rsid w:val="00210FDC"/>
    <w:rsid w:val="0021212D"/>
    <w:rsid w:val="002132F6"/>
    <w:rsid w:val="0021424F"/>
    <w:rsid w:val="00214418"/>
    <w:rsid w:val="00224815"/>
    <w:rsid w:val="002320DB"/>
    <w:rsid w:val="0024065A"/>
    <w:rsid w:val="00243868"/>
    <w:rsid w:val="00243892"/>
    <w:rsid w:val="0025231A"/>
    <w:rsid w:val="00253DE0"/>
    <w:rsid w:val="002544DA"/>
    <w:rsid w:val="002637A9"/>
    <w:rsid w:val="00271077"/>
    <w:rsid w:val="00272837"/>
    <w:rsid w:val="00273FDE"/>
    <w:rsid w:val="002742B2"/>
    <w:rsid w:val="0027559B"/>
    <w:rsid w:val="00276891"/>
    <w:rsid w:val="0027777E"/>
    <w:rsid w:val="00281FA7"/>
    <w:rsid w:val="002826D5"/>
    <w:rsid w:val="002869A8"/>
    <w:rsid w:val="00287E33"/>
    <w:rsid w:val="002911CC"/>
    <w:rsid w:val="00294849"/>
    <w:rsid w:val="002B14DE"/>
    <w:rsid w:val="002B1EA2"/>
    <w:rsid w:val="002B7014"/>
    <w:rsid w:val="002C0A40"/>
    <w:rsid w:val="002C2E6D"/>
    <w:rsid w:val="002D0B3B"/>
    <w:rsid w:val="002D37AE"/>
    <w:rsid w:val="002D608C"/>
    <w:rsid w:val="002D6846"/>
    <w:rsid w:val="002E0263"/>
    <w:rsid w:val="002E189B"/>
    <w:rsid w:val="002F077B"/>
    <w:rsid w:val="002F5D7F"/>
    <w:rsid w:val="002F7DFA"/>
    <w:rsid w:val="00305E65"/>
    <w:rsid w:val="0031060C"/>
    <w:rsid w:val="003166C1"/>
    <w:rsid w:val="00322FB7"/>
    <w:rsid w:val="00325610"/>
    <w:rsid w:val="00326D83"/>
    <w:rsid w:val="0033184D"/>
    <w:rsid w:val="003369E9"/>
    <w:rsid w:val="003404D6"/>
    <w:rsid w:val="00345B58"/>
    <w:rsid w:val="003514AD"/>
    <w:rsid w:val="00351B9E"/>
    <w:rsid w:val="00354CC9"/>
    <w:rsid w:val="00356448"/>
    <w:rsid w:val="00360926"/>
    <w:rsid w:val="00364EE4"/>
    <w:rsid w:val="003749C2"/>
    <w:rsid w:val="003779A5"/>
    <w:rsid w:val="00380856"/>
    <w:rsid w:val="00380B20"/>
    <w:rsid w:val="003820AF"/>
    <w:rsid w:val="0038274A"/>
    <w:rsid w:val="00384454"/>
    <w:rsid w:val="00384FA1"/>
    <w:rsid w:val="00385345"/>
    <w:rsid w:val="003938A1"/>
    <w:rsid w:val="003966C5"/>
    <w:rsid w:val="003969D8"/>
    <w:rsid w:val="003B26D6"/>
    <w:rsid w:val="003B4942"/>
    <w:rsid w:val="003B60B1"/>
    <w:rsid w:val="003C12FA"/>
    <w:rsid w:val="003C244E"/>
    <w:rsid w:val="003D0EAD"/>
    <w:rsid w:val="003D31C1"/>
    <w:rsid w:val="003D37EB"/>
    <w:rsid w:val="003D5C04"/>
    <w:rsid w:val="003E1644"/>
    <w:rsid w:val="003E2858"/>
    <w:rsid w:val="003E4134"/>
    <w:rsid w:val="004009D8"/>
    <w:rsid w:val="0041007D"/>
    <w:rsid w:val="00413CB4"/>
    <w:rsid w:val="004206BC"/>
    <w:rsid w:val="00430F68"/>
    <w:rsid w:val="004348E2"/>
    <w:rsid w:val="00436835"/>
    <w:rsid w:val="004376D2"/>
    <w:rsid w:val="00440B6A"/>
    <w:rsid w:val="00444015"/>
    <w:rsid w:val="0044508A"/>
    <w:rsid w:val="00445E17"/>
    <w:rsid w:val="00452270"/>
    <w:rsid w:val="00453684"/>
    <w:rsid w:val="00454BAA"/>
    <w:rsid w:val="00454E23"/>
    <w:rsid w:val="0046378C"/>
    <w:rsid w:val="00463AF6"/>
    <w:rsid w:val="00471EF6"/>
    <w:rsid w:val="00472EC2"/>
    <w:rsid w:val="004752D2"/>
    <w:rsid w:val="00476237"/>
    <w:rsid w:val="004765BD"/>
    <w:rsid w:val="00476C0B"/>
    <w:rsid w:val="00480C87"/>
    <w:rsid w:val="004810B3"/>
    <w:rsid w:val="004831D1"/>
    <w:rsid w:val="004915BF"/>
    <w:rsid w:val="00493D87"/>
    <w:rsid w:val="00497955"/>
    <w:rsid w:val="00497D52"/>
    <w:rsid w:val="004A4502"/>
    <w:rsid w:val="004B0F1D"/>
    <w:rsid w:val="004B6D57"/>
    <w:rsid w:val="004C0D83"/>
    <w:rsid w:val="004C3AE2"/>
    <w:rsid w:val="004C4668"/>
    <w:rsid w:val="004C5439"/>
    <w:rsid w:val="004C78FF"/>
    <w:rsid w:val="004D1FFD"/>
    <w:rsid w:val="004D47EB"/>
    <w:rsid w:val="004D51FB"/>
    <w:rsid w:val="004D58F2"/>
    <w:rsid w:val="004D7828"/>
    <w:rsid w:val="004E1D11"/>
    <w:rsid w:val="004E5757"/>
    <w:rsid w:val="004E638D"/>
    <w:rsid w:val="004E6DCB"/>
    <w:rsid w:val="004F3817"/>
    <w:rsid w:val="0050165A"/>
    <w:rsid w:val="00505573"/>
    <w:rsid w:val="00505AC4"/>
    <w:rsid w:val="00514F89"/>
    <w:rsid w:val="005178DD"/>
    <w:rsid w:val="00520045"/>
    <w:rsid w:val="005261CC"/>
    <w:rsid w:val="00527F72"/>
    <w:rsid w:val="005304C2"/>
    <w:rsid w:val="00540645"/>
    <w:rsid w:val="00541FD6"/>
    <w:rsid w:val="005420D1"/>
    <w:rsid w:val="00542F92"/>
    <w:rsid w:val="00545465"/>
    <w:rsid w:val="00550D3C"/>
    <w:rsid w:val="00551883"/>
    <w:rsid w:val="005553D7"/>
    <w:rsid w:val="00561094"/>
    <w:rsid w:val="0056298B"/>
    <w:rsid w:val="0056610A"/>
    <w:rsid w:val="005678EE"/>
    <w:rsid w:val="005718EA"/>
    <w:rsid w:val="0057295E"/>
    <w:rsid w:val="005735DD"/>
    <w:rsid w:val="00582646"/>
    <w:rsid w:val="00583787"/>
    <w:rsid w:val="00593941"/>
    <w:rsid w:val="005948CE"/>
    <w:rsid w:val="005A15A2"/>
    <w:rsid w:val="005A2BE2"/>
    <w:rsid w:val="005A6A4F"/>
    <w:rsid w:val="005B3F7D"/>
    <w:rsid w:val="005B5BD7"/>
    <w:rsid w:val="005B62D6"/>
    <w:rsid w:val="005B758D"/>
    <w:rsid w:val="005C1C2A"/>
    <w:rsid w:val="005C5F42"/>
    <w:rsid w:val="005D1389"/>
    <w:rsid w:val="005D201D"/>
    <w:rsid w:val="005D6A3A"/>
    <w:rsid w:val="005D7312"/>
    <w:rsid w:val="005F08B3"/>
    <w:rsid w:val="005F3E9C"/>
    <w:rsid w:val="00602E08"/>
    <w:rsid w:val="0060445C"/>
    <w:rsid w:val="006116A9"/>
    <w:rsid w:val="00615B87"/>
    <w:rsid w:val="00617869"/>
    <w:rsid w:val="00623400"/>
    <w:rsid w:val="006273E8"/>
    <w:rsid w:val="0063025A"/>
    <w:rsid w:val="00630575"/>
    <w:rsid w:val="006306B4"/>
    <w:rsid w:val="006358C5"/>
    <w:rsid w:val="00640423"/>
    <w:rsid w:val="006418AC"/>
    <w:rsid w:val="00642E15"/>
    <w:rsid w:val="00643394"/>
    <w:rsid w:val="00645D65"/>
    <w:rsid w:val="006464FF"/>
    <w:rsid w:val="00647D84"/>
    <w:rsid w:val="00651DAD"/>
    <w:rsid w:val="00655A32"/>
    <w:rsid w:val="00656214"/>
    <w:rsid w:val="0066072F"/>
    <w:rsid w:val="00661083"/>
    <w:rsid w:val="00661CFC"/>
    <w:rsid w:val="0066506C"/>
    <w:rsid w:val="006716B9"/>
    <w:rsid w:val="00673CD8"/>
    <w:rsid w:val="00675108"/>
    <w:rsid w:val="00685877"/>
    <w:rsid w:val="00695029"/>
    <w:rsid w:val="00695050"/>
    <w:rsid w:val="006A4F77"/>
    <w:rsid w:val="006A6AFB"/>
    <w:rsid w:val="006A78B2"/>
    <w:rsid w:val="006C080D"/>
    <w:rsid w:val="006C2D6A"/>
    <w:rsid w:val="006C31A9"/>
    <w:rsid w:val="006C4090"/>
    <w:rsid w:val="006C6F6E"/>
    <w:rsid w:val="006D4CC9"/>
    <w:rsid w:val="006D618C"/>
    <w:rsid w:val="006D6429"/>
    <w:rsid w:val="006D78EF"/>
    <w:rsid w:val="006E356C"/>
    <w:rsid w:val="006E4B72"/>
    <w:rsid w:val="006E5AE0"/>
    <w:rsid w:val="006F2ED1"/>
    <w:rsid w:val="006F6022"/>
    <w:rsid w:val="006F6E99"/>
    <w:rsid w:val="00703252"/>
    <w:rsid w:val="0070379C"/>
    <w:rsid w:val="00707870"/>
    <w:rsid w:val="00712428"/>
    <w:rsid w:val="0071661E"/>
    <w:rsid w:val="00717A6A"/>
    <w:rsid w:val="007208D6"/>
    <w:rsid w:val="0072318B"/>
    <w:rsid w:val="00723A84"/>
    <w:rsid w:val="00723DBD"/>
    <w:rsid w:val="007242A6"/>
    <w:rsid w:val="00724F6A"/>
    <w:rsid w:val="0073099E"/>
    <w:rsid w:val="00734638"/>
    <w:rsid w:val="0073471A"/>
    <w:rsid w:val="0073773B"/>
    <w:rsid w:val="00740B47"/>
    <w:rsid w:val="0074254D"/>
    <w:rsid w:val="00742DCA"/>
    <w:rsid w:val="007505C4"/>
    <w:rsid w:val="00750AE9"/>
    <w:rsid w:val="00751E01"/>
    <w:rsid w:val="0075377C"/>
    <w:rsid w:val="007540F0"/>
    <w:rsid w:val="00755AF2"/>
    <w:rsid w:val="00766626"/>
    <w:rsid w:val="00770C8A"/>
    <w:rsid w:val="00771B95"/>
    <w:rsid w:val="00772837"/>
    <w:rsid w:val="00773797"/>
    <w:rsid w:val="007853EC"/>
    <w:rsid w:val="00787F69"/>
    <w:rsid w:val="00793F72"/>
    <w:rsid w:val="00795805"/>
    <w:rsid w:val="007A0673"/>
    <w:rsid w:val="007A5B2D"/>
    <w:rsid w:val="007B2890"/>
    <w:rsid w:val="007B7AF8"/>
    <w:rsid w:val="007C1757"/>
    <w:rsid w:val="007C5853"/>
    <w:rsid w:val="007C7307"/>
    <w:rsid w:val="007C76D4"/>
    <w:rsid w:val="007D3CC7"/>
    <w:rsid w:val="007D4797"/>
    <w:rsid w:val="007E267B"/>
    <w:rsid w:val="007E60F9"/>
    <w:rsid w:val="007E67EA"/>
    <w:rsid w:val="007E76BB"/>
    <w:rsid w:val="00803199"/>
    <w:rsid w:val="008046AD"/>
    <w:rsid w:val="0080604F"/>
    <w:rsid w:val="008079B1"/>
    <w:rsid w:val="00816C6B"/>
    <w:rsid w:val="0081788B"/>
    <w:rsid w:val="00820D16"/>
    <w:rsid w:val="00823EAD"/>
    <w:rsid w:val="008240DD"/>
    <w:rsid w:val="00827E77"/>
    <w:rsid w:val="00831E38"/>
    <w:rsid w:val="00833C12"/>
    <w:rsid w:val="00843A9F"/>
    <w:rsid w:val="00846482"/>
    <w:rsid w:val="00850233"/>
    <w:rsid w:val="00851661"/>
    <w:rsid w:val="0085593B"/>
    <w:rsid w:val="00860150"/>
    <w:rsid w:val="008612C7"/>
    <w:rsid w:val="00865179"/>
    <w:rsid w:val="00871213"/>
    <w:rsid w:val="00882A7C"/>
    <w:rsid w:val="00884DEB"/>
    <w:rsid w:val="008878BA"/>
    <w:rsid w:val="00893921"/>
    <w:rsid w:val="00895F3A"/>
    <w:rsid w:val="008B2DC8"/>
    <w:rsid w:val="008B4FCB"/>
    <w:rsid w:val="008C1969"/>
    <w:rsid w:val="008C38A7"/>
    <w:rsid w:val="008C7EAE"/>
    <w:rsid w:val="008D0126"/>
    <w:rsid w:val="008D0CF5"/>
    <w:rsid w:val="008D1EB6"/>
    <w:rsid w:val="008D1FF3"/>
    <w:rsid w:val="008D214F"/>
    <w:rsid w:val="008D560B"/>
    <w:rsid w:val="008D607E"/>
    <w:rsid w:val="008E0A6D"/>
    <w:rsid w:val="008E2F26"/>
    <w:rsid w:val="008E4462"/>
    <w:rsid w:val="008E4929"/>
    <w:rsid w:val="008E4E47"/>
    <w:rsid w:val="008E701F"/>
    <w:rsid w:val="008F2184"/>
    <w:rsid w:val="008F7C4A"/>
    <w:rsid w:val="00907027"/>
    <w:rsid w:val="00913D30"/>
    <w:rsid w:val="0092296F"/>
    <w:rsid w:val="009234AC"/>
    <w:rsid w:val="00924B19"/>
    <w:rsid w:val="00925151"/>
    <w:rsid w:val="009349F0"/>
    <w:rsid w:val="0093535A"/>
    <w:rsid w:val="00937B2C"/>
    <w:rsid w:val="00940315"/>
    <w:rsid w:val="00943659"/>
    <w:rsid w:val="00946849"/>
    <w:rsid w:val="00947091"/>
    <w:rsid w:val="00952814"/>
    <w:rsid w:val="009567D8"/>
    <w:rsid w:val="00960C91"/>
    <w:rsid w:val="00964C5B"/>
    <w:rsid w:val="00966B26"/>
    <w:rsid w:val="009673B4"/>
    <w:rsid w:val="009729CA"/>
    <w:rsid w:val="009759FF"/>
    <w:rsid w:val="00976190"/>
    <w:rsid w:val="0098542B"/>
    <w:rsid w:val="00990391"/>
    <w:rsid w:val="00993857"/>
    <w:rsid w:val="009A32AB"/>
    <w:rsid w:val="009A7567"/>
    <w:rsid w:val="009C1CB7"/>
    <w:rsid w:val="009C2216"/>
    <w:rsid w:val="009C6223"/>
    <w:rsid w:val="009C78AC"/>
    <w:rsid w:val="009D21F5"/>
    <w:rsid w:val="009D2AA9"/>
    <w:rsid w:val="009D37D9"/>
    <w:rsid w:val="009E278D"/>
    <w:rsid w:val="009E78EF"/>
    <w:rsid w:val="009F147C"/>
    <w:rsid w:val="009F14C8"/>
    <w:rsid w:val="009F2EF0"/>
    <w:rsid w:val="009F351B"/>
    <w:rsid w:val="009F709C"/>
    <w:rsid w:val="00A07345"/>
    <w:rsid w:val="00A076BD"/>
    <w:rsid w:val="00A07964"/>
    <w:rsid w:val="00A10B15"/>
    <w:rsid w:val="00A16A02"/>
    <w:rsid w:val="00A254FC"/>
    <w:rsid w:val="00A26593"/>
    <w:rsid w:val="00A4039C"/>
    <w:rsid w:val="00A407CF"/>
    <w:rsid w:val="00A40E9B"/>
    <w:rsid w:val="00A444DC"/>
    <w:rsid w:val="00A45DEA"/>
    <w:rsid w:val="00A50037"/>
    <w:rsid w:val="00A539B9"/>
    <w:rsid w:val="00A5488E"/>
    <w:rsid w:val="00A619EB"/>
    <w:rsid w:val="00A631FF"/>
    <w:rsid w:val="00A643C5"/>
    <w:rsid w:val="00A71CAC"/>
    <w:rsid w:val="00A81647"/>
    <w:rsid w:val="00A820C8"/>
    <w:rsid w:val="00A82F1F"/>
    <w:rsid w:val="00A84DDA"/>
    <w:rsid w:val="00A85CE7"/>
    <w:rsid w:val="00A9657B"/>
    <w:rsid w:val="00A96EB4"/>
    <w:rsid w:val="00A970A0"/>
    <w:rsid w:val="00AA31CC"/>
    <w:rsid w:val="00AA4EFC"/>
    <w:rsid w:val="00AA5DDB"/>
    <w:rsid w:val="00AA6405"/>
    <w:rsid w:val="00AA703E"/>
    <w:rsid w:val="00AC02A7"/>
    <w:rsid w:val="00AC3821"/>
    <w:rsid w:val="00AC79B6"/>
    <w:rsid w:val="00AD22E4"/>
    <w:rsid w:val="00AE3216"/>
    <w:rsid w:val="00AE4726"/>
    <w:rsid w:val="00AE6551"/>
    <w:rsid w:val="00AF0384"/>
    <w:rsid w:val="00AF0FF6"/>
    <w:rsid w:val="00AF1D76"/>
    <w:rsid w:val="00B00A34"/>
    <w:rsid w:val="00B020AC"/>
    <w:rsid w:val="00B0376C"/>
    <w:rsid w:val="00B03A4C"/>
    <w:rsid w:val="00B205CA"/>
    <w:rsid w:val="00B27E79"/>
    <w:rsid w:val="00B37879"/>
    <w:rsid w:val="00B40A65"/>
    <w:rsid w:val="00B41500"/>
    <w:rsid w:val="00B4410F"/>
    <w:rsid w:val="00B46D58"/>
    <w:rsid w:val="00B47CC1"/>
    <w:rsid w:val="00B600B9"/>
    <w:rsid w:val="00B62314"/>
    <w:rsid w:val="00B63189"/>
    <w:rsid w:val="00B65E0E"/>
    <w:rsid w:val="00B71092"/>
    <w:rsid w:val="00B76587"/>
    <w:rsid w:val="00B8055A"/>
    <w:rsid w:val="00B867A9"/>
    <w:rsid w:val="00B91EF1"/>
    <w:rsid w:val="00B91F92"/>
    <w:rsid w:val="00B97103"/>
    <w:rsid w:val="00B972CA"/>
    <w:rsid w:val="00BA118F"/>
    <w:rsid w:val="00BA13E1"/>
    <w:rsid w:val="00BA1F07"/>
    <w:rsid w:val="00BA4074"/>
    <w:rsid w:val="00BA5760"/>
    <w:rsid w:val="00BA7082"/>
    <w:rsid w:val="00BB3D23"/>
    <w:rsid w:val="00BB4ED5"/>
    <w:rsid w:val="00BC30E2"/>
    <w:rsid w:val="00BC7F51"/>
    <w:rsid w:val="00BD1A6D"/>
    <w:rsid w:val="00BD4D94"/>
    <w:rsid w:val="00BD5B94"/>
    <w:rsid w:val="00BD6676"/>
    <w:rsid w:val="00BE16AB"/>
    <w:rsid w:val="00BE21A4"/>
    <w:rsid w:val="00BE2737"/>
    <w:rsid w:val="00BE4810"/>
    <w:rsid w:val="00BE670C"/>
    <w:rsid w:val="00C00C73"/>
    <w:rsid w:val="00C0160A"/>
    <w:rsid w:val="00C05FE1"/>
    <w:rsid w:val="00C12E9E"/>
    <w:rsid w:val="00C17B3E"/>
    <w:rsid w:val="00C302EE"/>
    <w:rsid w:val="00C3084E"/>
    <w:rsid w:val="00C3504C"/>
    <w:rsid w:val="00C357AE"/>
    <w:rsid w:val="00C361AE"/>
    <w:rsid w:val="00C40DDA"/>
    <w:rsid w:val="00C451D1"/>
    <w:rsid w:val="00C514D6"/>
    <w:rsid w:val="00C519A6"/>
    <w:rsid w:val="00C63333"/>
    <w:rsid w:val="00C721BA"/>
    <w:rsid w:val="00C748D4"/>
    <w:rsid w:val="00C75AF0"/>
    <w:rsid w:val="00C76D97"/>
    <w:rsid w:val="00C80A52"/>
    <w:rsid w:val="00C82A60"/>
    <w:rsid w:val="00C82FF7"/>
    <w:rsid w:val="00C84709"/>
    <w:rsid w:val="00C84A29"/>
    <w:rsid w:val="00C85B62"/>
    <w:rsid w:val="00C85FD8"/>
    <w:rsid w:val="00C87497"/>
    <w:rsid w:val="00C92D71"/>
    <w:rsid w:val="00C945E6"/>
    <w:rsid w:val="00C978F4"/>
    <w:rsid w:val="00CA21D2"/>
    <w:rsid w:val="00CA3745"/>
    <w:rsid w:val="00CA3FBD"/>
    <w:rsid w:val="00CA45CC"/>
    <w:rsid w:val="00CA5179"/>
    <w:rsid w:val="00CA586C"/>
    <w:rsid w:val="00CB0BB4"/>
    <w:rsid w:val="00CB1651"/>
    <w:rsid w:val="00CB29C7"/>
    <w:rsid w:val="00CB6DB6"/>
    <w:rsid w:val="00CB7374"/>
    <w:rsid w:val="00CB7B2D"/>
    <w:rsid w:val="00CC14CE"/>
    <w:rsid w:val="00CC5257"/>
    <w:rsid w:val="00CC6CA5"/>
    <w:rsid w:val="00CD171A"/>
    <w:rsid w:val="00CD4656"/>
    <w:rsid w:val="00CE2632"/>
    <w:rsid w:val="00CF201B"/>
    <w:rsid w:val="00D03CC4"/>
    <w:rsid w:val="00D04C55"/>
    <w:rsid w:val="00D07DEC"/>
    <w:rsid w:val="00D20D7E"/>
    <w:rsid w:val="00D24049"/>
    <w:rsid w:val="00D27529"/>
    <w:rsid w:val="00D27904"/>
    <w:rsid w:val="00D27BFC"/>
    <w:rsid w:val="00D32818"/>
    <w:rsid w:val="00D32CF1"/>
    <w:rsid w:val="00D339B7"/>
    <w:rsid w:val="00D36699"/>
    <w:rsid w:val="00D440A3"/>
    <w:rsid w:val="00D4436F"/>
    <w:rsid w:val="00D4482A"/>
    <w:rsid w:val="00D503DE"/>
    <w:rsid w:val="00D53D96"/>
    <w:rsid w:val="00D63178"/>
    <w:rsid w:val="00D64A9D"/>
    <w:rsid w:val="00D65946"/>
    <w:rsid w:val="00D7177F"/>
    <w:rsid w:val="00D76943"/>
    <w:rsid w:val="00D806F2"/>
    <w:rsid w:val="00D81A92"/>
    <w:rsid w:val="00D96964"/>
    <w:rsid w:val="00D976DD"/>
    <w:rsid w:val="00D97DED"/>
    <w:rsid w:val="00DA1BC3"/>
    <w:rsid w:val="00DA21A4"/>
    <w:rsid w:val="00DA43D1"/>
    <w:rsid w:val="00DA7CDD"/>
    <w:rsid w:val="00DA7FD2"/>
    <w:rsid w:val="00DB4D5E"/>
    <w:rsid w:val="00DC0C55"/>
    <w:rsid w:val="00DC3491"/>
    <w:rsid w:val="00DD3CDF"/>
    <w:rsid w:val="00DD4887"/>
    <w:rsid w:val="00DD5A56"/>
    <w:rsid w:val="00DE1D7E"/>
    <w:rsid w:val="00DE764B"/>
    <w:rsid w:val="00DE7C53"/>
    <w:rsid w:val="00DF0854"/>
    <w:rsid w:val="00DF788D"/>
    <w:rsid w:val="00E00280"/>
    <w:rsid w:val="00E02648"/>
    <w:rsid w:val="00E06A71"/>
    <w:rsid w:val="00E132F2"/>
    <w:rsid w:val="00E1466E"/>
    <w:rsid w:val="00E14696"/>
    <w:rsid w:val="00E20164"/>
    <w:rsid w:val="00E231E1"/>
    <w:rsid w:val="00E24D02"/>
    <w:rsid w:val="00E25BEC"/>
    <w:rsid w:val="00E26686"/>
    <w:rsid w:val="00E2693C"/>
    <w:rsid w:val="00E325D0"/>
    <w:rsid w:val="00E33ACC"/>
    <w:rsid w:val="00E369FA"/>
    <w:rsid w:val="00E40FEF"/>
    <w:rsid w:val="00E51BBE"/>
    <w:rsid w:val="00E5745E"/>
    <w:rsid w:val="00E60A08"/>
    <w:rsid w:val="00E64953"/>
    <w:rsid w:val="00E67669"/>
    <w:rsid w:val="00E71290"/>
    <w:rsid w:val="00E714F9"/>
    <w:rsid w:val="00E730D9"/>
    <w:rsid w:val="00E75386"/>
    <w:rsid w:val="00E82579"/>
    <w:rsid w:val="00E83536"/>
    <w:rsid w:val="00E909D9"/>
    <w:rsid w:val="00E9307C"/>
    <w:rsid w:val="00E9380A"/>
    <w:rsid w:val="00E93D89"/>
    <w:rsid w:val="00E973D1"/>
    <w:rsid w:val="00EA023B"/>
    <w:rsid w:val="00EA373F"/>
    <w:rsid w:val="00EA4178"/>
    <w:rsid w:val="00EA772D"/>
    <w:rsid w:val="00EB4C93"/>
    <w:rsid w:val="00EB5F3E"/>
    <w:rsid w:val="00EC2A93"/>
    <w:rsid w:val="00EC3EA6"/>
    <w:rsid w:val="00EC6658"/>
    <w:rsid w:val="00EC7CC2"/>
    <w:rsid w:val="00ED0B5E"/>
    <w:rsid w:val="00ED3853"/>
    <w:rsid w:val="00ED5591"/>
    <w:rsid w:val="00ED7585"/>
    <w:rsid w:val="00EE063F"/>
    <w:rsid w:val="00EE3DCB"/>
    <w:rsid w:val="00EE62CC"/>
    <w:rsid w:val="00EE650B"/>
    <w:rsid w:val="00EE6B80"/>
    <w:rsid w:val="00EF197A"/>
    <w:rsid w:val="00EF1B33"/>
    <w:rsid w:val="00EF2627"/>
    <w:rsid w:val="00EF4CC4"/>
    <w:rsid w:val="00F06958"/>
    <w:rsid w:val="00F07199"/>
    <w:rsid w:val="00F07941"/>
    <w:rsid w:val="00F07AC9"/>
    <w:rsid w:val="00F10863"/>
    <w:rsid w:val="00F14936"/>
    <w:rsid w:val="00F169B4"/>
    <w:rsid w:val="00F17BF1"/>
    <w:rsid w:val="00F2166B"/>
    <w:rsid w:val="00F256AE"/>
    <w:rsid w:val="00F25B73"/>
    <w:rsid w:val="00F25E17"/>
    <w:rsid w:val="00F3391D"/>
    <w:rsid w:val="00F374A5"/>
    <w:rsid w:val="00F40E1F"/>
    <w:rsid w:val="00F41100"/>
    <w:rsid w:val="00F418B0"/>
    <w:rsid w:val="00F444C0"/>
    <w:rsid w:val="00F4525F"/>
    <w:rsid w:val="00F526F9"/>
    <w:rsid w:val="00F52A22"/>
    <w:rsid w:val="00F53BA4"/>
    <w:rsid w:val="00F70CAB"/>
    <w:rsid w:val="00F71292"/>
    <w:rsid w:val="00F73D13"/>
    <w:rsid w:val="00F740D8"/>
    <w:rsid w:val="00F760F6"/>
    <w:rsid w:val="00F763F3"/>
    <w:rsid w:val="00F76E03"/>
    <w:rsid w:val="00F803DC"/>
    <w:rsid w:val="00F80714"/>
    <w:rsid w:val="00F85D68"/>
    <w:rsid w:val="00F86FC3"/>
    <w:rsid w:val="00F9237D"/>
    <w:rsid w:val="00F958A5"/>
    <w:rsid w:val="00F97F85"/>
    <w:rsid w:val="00FA0568"/>
    <w:rsid w:val="00FA2F41"/>
    <w:rsid w:val="00FA5290"/>
    <w:rsid w:val="00FA5DE0"/>
    <w:rsid w:val="00FB125E"/>
    <w:rsid w:val="00FB3A2C"/>
    <w:rsid w:val="00FB6D21"/>
    <w:rsid w:val="00FC0817"/>
    <w:rsid w:val="00FC0C22"/>
    <w:rsid w:val="00FC2756"/>
    <w:rsid w:val="00FC2EC6"/>
    <w:rsid w:val="00FC3322"/>
    <w:rsid w:val="00FD1070"/>
    <w:rsid w:val="00FD14FF"/>
    <w:rsid w:val="00FD5EBE"/>
    <w:rsid w:val="00FE2187"/>
    <w:rsid w:val="00FE234B"/>
    <w:rsid w:val="00FE5EC3"/>
    <w:rsid w:val="00FF1B86"/>
    <w:rsid w:val="00FF5F1F"/>
    <w:rsid w:val="1E4FD146"/>
    <w:rsid w:val="72AC808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4BFEE"/>
  <w15:chartTrackingRefBased/>
  <w15:docId w15:val="{A7C0FD99-311C-41E3-B552-A68BE95B0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D65"/>
    <w:pPr>
      <w:spacing w:before="120" w:after="120"/>
    </w:pPr>
    <w:rPr>
      <w:rFonts w:ascii="Diodrum Light" w:hAnsi="Diodrum Light"/>
    </w:rPr>
  </w:style>
  <w:style w:type="paragraph" w:styleId="Heading1">
    <w:name w:val="heading 1"/>
    <w:basedOn w:val="Normal"/>
    <w:next w:val="Normal"/>
    <w:link w:val="Heading1Char"/>
    <w:uiPriority w:val="9"/>
    <w:qFormat/>
    <w:rsid w:val="00C00C73"/>
    <w:pPr>
      <w:keepNext/>
      <w:keepLines/>
      <w:outlineLvl w:val="0"/>
    </w:pPr>
    <w:rPr>
      <w:rFonts w:ascii="Diodrum Medium" w:eastAsiaTheme="majorEastAsia" w:hAnsi="Diodrum Medium" w:cstheme="majorBidi"/>
      <w:color w:val="002060"/>
      <w:sz w:val="64"/>
      <w:szCs w:val="32"/>
    </w:rPr>
  </w:style>
  <w:style w:type="paragraph" w:styleId="Heading2">
    <w:name w:val="heading 2"/>
    <w:basedOn w:val="Normal"/>
    <w:next w:val="Normal"/>
    <w:link w:val="Heading2Char"/>
    <w:uiPriority w:val="9"/>
    <w:unhideWhenUsed/>
    <w:qFormat/>
    <w:rsid w:val="00645D65"/>
    <w:pPr>
      <w:keepNext/>
      <w:keepLines/>
      <w:spacing w:before="240" w:after="240"/>
      <w:outlineLvl w:val="1"/>
    </w:pPr>
    <w:rPr>
      <w:rFonts w:ascii="Diodrum Medium" w:eastAsiaTheme="majorEastAsia" w:hAnsi="Diodrum Medium" w:cstheme="majorBidi"/>
      <w:color w:val="002060"/>
      <w:sz w:val="36"/>
      <w:szCs w:val="28"/>
    </w:rPr>
  </w:style>
  <w:style w:type="paragraph" w:styleId="Heading3">
    <w:name w:val="heading 3"/>
    <w:basedOn w:val="Normal"/>
    <w:next w:val="Normal"/>
    <w:link w:val="Heading3Char"/>
    <w:uiPriority w:val="9"/>
    <w:unhideWhenUsed/>
    <w:qFormat/>
    <w:rsid w:val="00645D65"/>
    <w:pPr>
      <w:keepNext/>
      <w:keepLines/>
      <w:outlineLvl w:val="2"/>
    </w:pPr>
    <w:rPr>
      <w:rFonts w:ascii="Diodrum Medium" w:eastAsiaTheme="majorEastAsia" w:hAnsi="Diodrum Medium" w:cstheme="majorBidi"/>
      <w:color w:val="002060"/>
      <w:sz w:val="28"/>
      <w:szCs w:val="24"/>
    </w:rPr>
  </w:style>
  <w:style w:type="paragraph" w:styleId="Heading4">
    <w:name w:val="heading 4"/>
    <w:basedOn w:val="Normal"/>
    <w:next w:val="Normal"/>
    <w:link w:val="Heading4Char"/>
    <w:uiPriority w:val="9"/>
    <w:unhideWhenUsed/>
    <w:qFormat/>
    <w:rsid w:val="007505C4"/>
    <w:pPr>
      <w:keepNext/>
      <w:keepLines/>
      <w:outlineLvl w:val="3"/>
    </w:pPr>
    <w:rPr>
      <w:rFonts w:ascii="Diodrum Medium" w:eastAsiaTheme="majorEastAsia" w:hAnsi="Diodrum Medium" w:cstheme="majorBidi"/>
      <w:iCs/>
      <w:color w:val="002060"/>
      <w:sz w:val="24"/>
    </w:rPr>
  </w:style>
  <w:style w:type="paragraph" w:styleId="Heading5">
    <w:name w:val="heading 5"/>
    <w:basedOn w:val="Normal"/>
    <w:next w:val="Normal"/>
    <w:link w:val="Heading5Char"/>
    <w:uiPriority w:val="9"/>
    <w:unhideWhenUsed/>
    <w:qFormat/>
    <w:rsid w:val="006D618C"/>
    <w:pPr>
      <w:tabs>
        <w:tab w:val="num" w:pos="3600"/>
      </w:tabs>
      <w:spacing w:before="240" w:after="60" w:line="240" w:lineRule="auto"/>
      <w:ind w:left="3600" w:hanging="720"/>
      <w:outlineLvl w:val="4"/>
    </w:pPr>
    <w:rPr>
      <w:rFonts w:asciiTheme="minorHAnsi" w:eastAsiaTheme="minorEastAsia" w:hAnsiTheme="minorHAnsi"/>
      <w:b/>
      <w:bCs/>
      <w:i/>
      <w:iCs/>
      <w:sz w:val="26"/>
      <w:szCs w:val="26"/>
    </w:rPr>
  </w:style>
  <w:style w:type="paragraph" w:styleId="Heading6">
    <w:name w:val="heading 6"/>
    <w:basedOn w:val="Normal"/>
    <w:next w:val="Normal"/>
    <w:link w:val="Heading6Char"/>
    <w:unhideWhenUsed/>
    <w:qFormat/>
    <w:rsid w:val="006D618C"/>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6D618C"/>
    <w:pPr>
      <w:tabs>
        <w:tab w:val="num" w:pos="5040"/>
      </w:tabs>
      <w:spacing w:before="240" w:after="60" w:line="240" w:lineRule="auto"/>
      <w:ind w:left="5040" w:hanging="720"/>
      <w:outlineLvl w:val="6"/>
    </w:pPr>
    <w:rPr>
      <w:rFonts w:asciiTheme="minorHAnsi" w:eastAsiaTheme="minorEastAsia" w:hAnsiTheme="minorHAnsi"/>
      <w:sz w:val="24"/>
      <w:szCs w:val="24"/>
    </w:rPr>
  </w:style>
  <w:style w:type="paragraph" w:styleId="Heading8">
    <w:name w:val="heading 8"/>
    <w:basedOn w:val="Normal"/>
    <w:next w:val="Normal"/>
    <w:link w:val="Heading8Char"/>
    <w:uiPriority w:val="9"/>
    <w:semiHidden/>
    <w:unhideWhenUsed/>
    <w:qFormat/>
    <w:rsid w:val="006D618C"/>
    <w:pPr>
      <w:tabs>
        <w:tab w:val="num" w:pos="5760"/>
      </w:tabs>
      <w:spacing w:before="240" w:after="60" w:line="240" w:lineRule="auto"/>
      <w:ind w:left="5760" w:hanging="720"/>
      <w:outlineLvl w:val="7"/>
    </w:pPr>
    <w:rPr>
      <w:rFonts w:asciiTheme="minorHAnsi" w:eastAsiaTheme="minorEastAsia" w:hAnsiTheme="minorHAnsi"/>
      <w:i/>
      <w:iCs/>
      <w:sz w:val="24"/>
      <w:szCs w:val="24"/>
    </w:rPr>
  </w:style>
  <w:style w:type="paragraph" w:styleId="Heading9">
    <w:name w:val="heading 9"/>
    <w:basedOn w:val="Normal"/>
    <w:next w:val="Normal"/>
    <w:link w:val="Heading9Char"/>
    <w:uiPriority w:val="9"/>
    <w:semiHidden/>
    <w:unhideWhenUsed/>
    <w:qFormat/>
    <w:rsid w:val="006D618C"/>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B12A3"/>
    <w:pPr>
      <w:ind w:left="720"/>
      <w:contextualSpacing/>
    </w:pPr>
  </w:style>
  <w:style w:type="character" w:customStyle="1" w:styleId="Heading1Char">
    <w:name w:val="Heading 1 Char"/>
    <w:basedOn w:val="DefaultParagraphFont"/>
    <w:link w:val="Heading1"/>
    <w:uiPriority w:val="9"/>
    <w:rsid w:val="00C00C73"/>
    <w:rPr>
      <w:rFonts w:ascii="Diodrum Medium" w:eastAsiaTheme="majorEastAsia" w:hAnsi="Diodrum Medium" w:cstheme="majorBidi"/>
      <w:color w:val="002060"/>
      <w:sz w:val="64"/>
      <w:szCs w:val="32"/>
    </w:rPr>
  </w:style>
  <w:style w:type="paragraph" w:styleId="TOCHeading">
    <w:name w:val="TOC Heading"/>
    <w:basedOn w:val="Heading1"/>
    <w:next w:val="Normal"/>
    <w:uiPriority w:val="39"/>
    <w:unhideWhenUsed/>
    <w:qFormat/>
    <w:rsid w:val="000B12A3"/>
    <w:pPr>
      <w:outlineLvl w:val="9"/>
    </w:pPr>
  </w:style>
  <w:style w:type="character" w:styleId="CommentReference">
    <w:name w:val="annotation reference"/>
    <w:basedOn w:val="DefaultParagraphFont"/>
    <w:uiPriority w:val="99"/>
    <w:semiHidden/>
    <w:unhideWhenUsed/>
    <w:rsid w:val="00DC0C55"/>
    <w:rPr>
      <w:sz w:val="16"/>
      <w:szCs w:val="16"/>
    </w:rPr>
  </w:style>
  <w:style w:type="paragraph" w:styleId="CommentText">
    <w:name w:val="annotation text"/>
    <w:basedOn w:val="Normal"/>
    <w:link w:val="CommentTextChar"/>
    <w:uiPriority w:val="99"/>
    <w:unhideWhenUsed/>
    <w:rsid w:val="00DC0C55"/>
    <w:pPr>
      <w:spacing w:line="240" w:lineRule="auto"/>
    </w:pPr>
    <w:rPr>
      <w:sz w:val="20"/>
      <w:szCs w:val="20"/>
    </w:rPr>
  </w:style>
  <w:style w:type="character" w:customStyle="1" w:styleId="CommentTextChar">
    <w:name w:val="Comment Text Char"/>
    <w:basedOn w:val="DefaultParagraphFont"/>
    <w:link w:val="CommentText"/>
    <w:uiPriority w:val="99"/>
    <w:rsid w:val="00DC0C55"/>
    <w:rPr>
      <w:sz w:val="20"/>
      <w:szCs w:val="20"/>
    </w:rPr>
  </w:style>
  <w:style w:type="paragraph" w:styleId="CommentSubject">
    <w:name w:val="annotation subject"/>
    <w:basedOn w:val="CommentText"/>
    <w:next w:val="CommentText"/>
    <w:link w:val="CommentSubjectChar"/>
    <w:uiPriority w:val="99"/>
    <w:semiHidden/>
    <w:unhideWhenUsed/>
    <w:rsid w:val="00DC0C55"/>
    <w:rPr>
      <w:b/>
      <w:bCs/>
    </w:rPr>
  </w:style>
  <w:style w:type="character" w:customStyle="1" w:styleId="CommentSubjectChar">
    <w:name w:val="Comment Subject Char"/>
    <w:basedOn w:val="CommentTextChar"/>
    <w:link w:val="CommentSubject"/>
    <w:uiPriority w:val="99"/>
    <w:semiHidden/>
    <w:rsid w:val="00DC0C55"/>
    <w:rPr>
      <w:b/>
      <w:bCs/>
      <w:sz w:val="20"/>
      <w:szCs w:val="20"/>
    </w:rPr>
  </w:style>
  <w:style w:type="paragraph" w:styleId="BalloonText">
    <w:name w:val="Balloon Text"/>
    <w:basedOn w:val="Normal"/>
    <w:link w:val="BalloonTextChar"/>
    <w:uiPriority w:val="99"/>
    <w:semiHidden/>
    <w:unhideWhenUsed/>
    <w:rsid w:val="00DC0C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C55"/>
    <w:rPr>
      <w:rFonts w:ascii="Segoe UI" w:hAnsi="Segoe UI" w:cs="Segoe UI"/>
      <w:sz w:val="18"/>
      <w:szCs w:val="18"/>
    </w:rPr>
  </w:style>
  <w:style w:type="paragraph" w:styleId="Header">
    <w:name w:val="header"/>
    <w:basedOn w:val="Normal"/>
    <w:link w:val="HeaderChar"/>
    <w:uiPriority w:val="99"/>
    <w:unhideWhenUsed/>
    <w:rsid w:val="009903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391"/>
  </w:style>
  <w:style w:type="paragraph" w:styleId="Footer">
    <w:name w:val="footer"/>
    <w:basedOn w:val="Normal"/>
    <w:link w:val="FooterChar"/>
    <w:uiPriority w:val="99"/>
    <w:unhideWhenUsed/>
    <w:rsid w:val="009903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391"/>
  </w:style>
  <w:style w:type="paragraph" w:styleId="TOC1">
    <w:name w:val="toc 1"/>
    <w:basedOn w:val="Normal"/>
    <w:next w:val="Normal"/>
    <w:autoRedefine/>
    <w:uiPriority w:val="39"/>
    <w:unhideWhenUsed/>
    <w:rsid w:val="00454BAA"/>
    <w:pPr>
      <w:tabs>
        <w:tab w:val="right" w:leader="dot" w:pos="9350"/>
      </w:tabs>
      <w:spacing w:after="100"/>
    </w:pPr>
    <w:rPr>
      <w:rFonts w:ascii="Diodrum Medium" w:hAnsi="Diodrum Medium"/>
      <w:caps/>
      <w:noProof/>
      <w:sz w:val="32"/>
    </w:rPr>
  </w:style>
  <w:style w:type="character" w:styleId="Hyperlink">
    <w:name w:val="Hyperlink"/>
    <w:basedOn w:val="DefaultParagraphFont"/>
    <w:uiPriority w:val="99"/>
    <w:unhideWhenUsed/>
    <w:rsid w:val="002544DA"/>
    <w:rPr>
      <w:color w:val="0563C1" w:themeColor="hyperlink"/>
      <w:u w:val="single"/>
    </w:rPr>
  </w:style>
  <w:style w:type="character" w:customStyle="1" w:styleId="Heading2Char">
    <w:name w:val="Heading 2 Char"/>
    <w:basedOn w:val="DefaultParagraphFont"/>
    <w:link w:val="Heading2"/>
    <w:uiPriority w:val="9"/>
    <w:rsid w:val="00645D65"/>
    <w:rPr>
      <w:rFonts w:ascii="Diodrum Medium" w:eastAsiaTheme="majorEastAsia" w:hAnsi="Diodrum Medium" w:cstheme="majorBidi"/>
      <w:color w:val="002060"/>
      <w:sz w:val="36"/>
      <w:szCs w:val="28"/>
    </w:rPr>
  </w:style>
  <w:style w:type="character" w:customStyle="1" w:styleId="Heading3Char">
    <w:name w:val="Heading 3 Char"/>
    <w:basedOn w:val="DefaultParagraphFont"/>
    <w:link w:val="Heading3"/>
    <w:uiPriority w:val="9"/>
    <w:rsid w:val="00645D65"/>
    <w:rPr>
      <w:rFonts w:ascii="Diodrum Medium" w:eastAsiaTheme="majorEastAsia" w:hAnsi="Diodrum Medium" w:cstheme="majorBidi"/>
      <w:color w:val="002060"/>
      <w:sz w:val="28"/>
      <w:szCs w:val="24"/>
    </w:rPr>
  </w:style>
  <w:style w:type="character" w:customStyle="1" w:styleId="Heading4Char">
    <w:name w:val="Heading 4 Char"/>
    <w:basedOn w:val="DefaultParagraphFont"/>
    <w:link w:val="Heading4"/>
    <w:uiPriority w:val="9"/>
    <w:rsid w:val="007505C4"/>
    <w:rPr>
      <w:rFonts w:ascii="Diodrum Medium" w:eastAsiaTheme="majorEastAsia" w:hAnsi="Diodrum Medium" w:cstheme="majorBidi"/>
      <w:iCs/>
      <w:color w:val="002060"/>
      <w:sz w:val="24"/>
    </w:rPr>
  </w:style>
  <w:style w:type="paragraph" w:styleId="TOC2">
    <w:name w:val="toc 2"/>
    <w:basedOn w:val="Normal"/>
    <w:next w:val="Normal"/>
    <w:autoRedefine/>
    <w:uiPriority w:val="39"/>
    <w:unhideWhenUsed/>
    <w:rsid w:val="002C2E6D"/>
    <w:pPr>
      <w:tabs>
        <w:tab w:val="left" w:pos="810"/>
        <w:tab w:val="right" w:leader="dot" w:pos="9350"/>
      </w:tabs>
      <w:spacing w:after="100"/>
      <w:ind w:left="220"/>
    </w:pPr>
    <w:rPr>
      <w:noProof/>
    </w:rPr>
  </w:style>
  <w:style w:type="paragraph" w:styleId="TOC3">
    <w:name w:val="toc 3"/>
    <w:basedOn w:val="Normal"/>
    <w:next w:val="Normal"/>
    <w:autoRedefine/>
    <w:uiPriority w:val="39"/>
    <w:unhideWhenUsed/>
    <w:rsid w:val="002D6846"/>
    <w:pPr>
      <w:tabs>
        <w:tab w:val="right" w:leader="dot" w:pos="9350"/>
      </w:tabs>
      <w:spacing w:after="100"/>
      <w:ind w:left="1440" w:hanging="630"/>
    </w:pPr>
    <w:rPr>
      <w:rFonts w:ascii="New Century Schoolbook" w:hAnsi="New Century Schoolbook"/>
      <w:sz w:val="24"/>
    </w:rPr>
  </w:style>
  <w:style w:type="character" w:customStyle="1" w:styleId="normaltextrun">
    <w:name w:val="normaltextrun"/>
    <w:basedOn w:val="DefaultParagraphFont"/>
    <w:rsid w:val="00661CFC"/>
  </w:style>
  <w:style w:type="paragraph" w:styleId="Subtitle">
    <w:name w:val="Subtitle"/>
    <w:basedOn w:val="Normal"/>
    <w:next w:val="Normal"/>
    <w:link w:val="SubtitleChar"/>
    <w:uiPriority w:val="11"/>
    <w:qFormat/>
    <w:rsid w:val="00750AE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50AE9"/>
    <w:rPr>
      <w:rFonts w:eastAsiaTheme="minorEastAsia"/>
      <w:color w:val="5A5A5A" w:themeColor="text1" w:themeTint="A5"/>
      <w:spacing w:val="15"/>
    </w:rPr>
  </w:style>
  <w:style w:type="paragraph" w:styleId="NoSpacing">
    <w:name w:val="No Spacing"/>
    <w:uiPriority w:val="1"/>
    <w:qFormat/>
    <w:rsid w:val="00750AE9"/>
    <w:pPr>
      <w:spacing w:after="0" w:line="240" w:lineRule="auto"/>
    </w:pPr>
  </w:style>
  <w:style w:type="paragraph" w:styleId="Revision">
    <w:name w:val="Revision"/>
    <w:hidden/>
    <w:uiPriority w:val="99"/>
    <w:semiHidden/>
    <w:rsid w:val="001C0175"/>
    <w:pPr>
      <w:spacing w:after="0" w:line="240" w:lineRule="auto"/>
    </w:pPr>
    <w:rPr>
      <w:rFonts w:ascii="New Century Schoolbook LT Std R" w:hAnsi="New Century Schoolbook LT Std R"/>
      <w:color w:val="67737A"/>
    </w:rPr>
  </w:style>
  <w:style w:type="table" w:styleId="TableGrid">
    <w:name w:val="Table Grid"/>
    <w:basedOn w:val="TableNormal"/>
    <w:uiPriority w:val="39"/>
    <w:rsid w:val="00AE3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C244E"/>
    <w:rPr>
      <w:color w:val="605E5C"/>
      <w:shd w:val="clear" w:color="auto" w:fill="E1DFDD"/>
    </w:rPr>
  </w:style>
  <w:style w:type="character" w:customStyle="1" w:styleId="Heading5Char">
    <w:name w:val="Heading 5 Char"/>
    <w:basedOn w:val="DefaultParagraphFont"/>
    <w:link w:val="Heading5"/>
    <w:uiPriority w:val="9"/>
    <w:rsid w:val="006D618C"/>
    <w:rPr>
      <w:rFonts w:eastAsiaTheme="minorEastAsia"/>
      <w:b/>
      <w:bCs/>
      <w:i/>
      <w:iCs/>
      <w:sz w:val="26"/>
      <w:szCs w:val="26"/>
    </w:rPr>
  </w:style>
  <w:style w:type="character" w:customStyle="1" w:styleId="Heading6Char">
    <w:name w:val="Heading 6 Char"/>
    <w:basedOn w:val="DefaultParagraphFont"/>
    <w:link w:val="Heading6"/>
    <w:rsid w:val="006D618C"/>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6D618C"/>
    <w:rPr>
      <w:rFonts w:eastAsiaTheme="minorEastAsia"/>
      <w:sz w:val="24"/>
      <w:szCs w:val="24"/>
    </w:rPr>
  </w:style>
  <w:style w:type="character" w:customStyle="1" w:styleId="Heading8Char">
    <w:name w:val="Heading 8 Char"/>
    <w:basedOn w:val="DefaultParagraphFont"/>
    <w:link w:val="Heading8"/>
    <w:uiPriority w:val="9"/>
    <w:semiHidden/>
    <w:rsid w:val="006D618C"/>
    <w:rPr>
      <w:rFonts w:eastAsiaTheme="minorEastAsia"/>
      <w:i/>
      <w:iCs/>
      <w:sz w:val="24"/>
      <w:szCs w:val="24"/>
    </w:rPr>
  </w:style>
  <w:style w:type="character" w:customStyle="1" w:styleId="Heading9Char">
    <w:name w:val="Heading 9 Char"/>
    <w:basedOn w:val="DefaultParagraphFont"/>
    <w:link w:val="Heading9"/>
    <w:uiPriority w:val="9"/>
    <w:semiHidden/>
    <w:rsid w:val="006D618C"/>
    <w:rPr>
      <w:rFonts w:asciiTheme="majorHAnsi" w:eastAsiaTheme="majorEastAsia" w:hAnsiTheme="majorHAnsi" w:cstheme="majorBidi"/>
    </w:rPr>
  </w:style>
  <w:style w:type="paragraph" w:customStyle="1" w:styleId="msonormal0">
    <w:name w:val="msonormal"/>
    <w:basedOn w:val="Normal"/>
    <w:rsid w:val="006D61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01">
    <w:name w:val="cf01"/>
    <w:basedOn w:val="DefaultParagraphFont"/>
    <w:rsid w:val="006D618C"/>
    <w:rPr>
      <w:rFonts w:ascii="Segoe UI" w:hAnsi="Segoe UI" w:cs="Segoe UI" w:hint="default"/>
      <w:sz w:val="18"/>
      <w:szCs w:val="18"/>
    </w:rPr>
  </w:style>
  <w:style w:type="paragraph" w:styleId="NormalWeb">
    <w:name w:val="Normal (Web)"/>
    <w:basedOn w:val="Normal"/>
    <w:uiPriority w:val="99"/>
    <w:semiHidden/>
    <w:unhideWhenUsed/>
    <w:rsid w:val="004009D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009D8"/>
    <w:rPr>
      <w:b/>
      <w:bCs/>
    </w:rPr>
  </w:style>
  <w:style w:type="paragraph" w:styleId="TOC4">
    <w:name w:val="toc 4"/>
    <w:basedOn w:val="Normal"/>
    <w:next w:val="Normal"/>
    <w:autoRedefine/>
    <w:uiPriority w:val="39"/>
    <w:unhideWhenUsed/>
    <w:rsid w:val="00A643C5"/>
    <w:pPr>
      <w:spacing w:after="100" w:line="278" w:lineRule="auto"/>
      <w:ind w:left="720"/>
    </w:pPr>
    <w:rPr>
      <w:rFonts w:asciiTheme="minorHAnsi" w:eastAsiaTheme="minorEastAsia" w:hAnsiTheme="minorHAnsi"/>
      <w:kern w:val="2"/>
      <w:sz w:val="24"/>
      <w:szCs w:val="24"/>
      <w14:ligatures w14:val="standardContextual"/>
    </w:rPr>
  </w:style>
  <w:style w:type="paragraph" w:styleId="TOC5">
    <w:name w:val="toc 5"/>
    <w:basedOn w:val="Normal"/>
    <w:next w:val="Normal"/>
    <w:autoRedefine/>
    <w:uiPriority w:val="39"/>
    <w:unhideWhenUsed/>
    <w:rsid w:val="00A643C5"/>
    <w:pPr>
      <w:spacing w:after="100" w:line="278" w:lineRule="auto"/>
      <w:ind w:left="960"/>
    </w:pPr>
    <w:rPr>
      <w:rFonts w:asciiTheme="minorHAnsi" w:eastAsiaTheme="minorEastAsia" w:hAnsiTheme="minorHAnsi"/>
      <w:kern w:val="2"/>
      <w:sz w:val="24"/>
      <w:szCs w:val="24"/>
      <w14:ligatures w14:val="standardContextual"/>
    </w:rPr>
  </w:style>
  <w:style w:type="paragraph" w:styleId="TOC6">
    <w:name w:val="toc 6"/>
    <w:basedOn w:val="Normal"/>
    <w:next w:val="Normal"/>
    <w:autoRedefine/>
    <w:uiPriority w:val="39"/>
    <w:unhideWhenUsed/>
    <w:rsid w:val="00A643C5"/>
    <w:pPr>
      <w:spacing w:after="100" w:line="278" w:lineRule="auto"/>
      <w:ind w:left="1200"/>
    </w:pPr>
    <w:rPr>
      <w:rFonts w:asciiTheme="minorHAnsi" w:eastAsiaTheme="minorEastAsia" w:hAnsiTheme="minorHAnsi"/>
      <w:kern w:val="2"/>
      <w:sz w:val="24"/>
      <w:szCs w:val="24"/>
      <w14:ligatures w14:val="standardContextual"/>
    </w:rPr>
  </w:style>
  <w:style w:type="paragraph" w:styleId="TOC7">
    <w:name w:val="toc 7"/>
    <w:basedOn w:val="Normal"/>
    <w:next w:val="Normal"/>
    <w:autoRedefine/>
    <w:uiPriority w:val="39"/>
    <w:unhideWhenUsed/>
    <w:rsid w:val="00A643C5"/>
    <w:pPr>
      <w:spacing w:after="100" w:line="278" w:lineRule="auto"/>
      <w:ind w:left="1440"/>
    </w:pPr>
    <w:rPr>
      <w:rFonts w:asciiTheme="minorHAnsi" w:eastAsiaTheme="minorEastAsia" w:hAnsiTheme="minorHAnsi"/>
      <w:kern w:val="2"/>
      <w:sz w:val="24"/>
      <w:szCs w:val="24"/>
      <w14:ligatures w14:val="standardContextual"/>
    </w:rPr>
  </w:style>
  <w:style w:type="paragraph" w:styleId="TOC8">
    <w:name w:val="toc 8"/>
    <w:basedOn w:val="Normal"/>
    <w:next w:val="Normal"/>
    <w:autoRedefine/>
    <w:uiPriority w:val="39"/>
    <w:unhideWhenUsed/>
    <w:rsid w:val="00A643C5"/>
    <w:pPr>
      <w:spacing w:after="100" w:line="278" w:lineRule="auto"/>
      <w:ind w:left="1680"/>
    </w:pPr>
    <w:rPr>
      <w:rFonts w:asciiTheme="minorHAnsi" w:eastAsiaTheme="minorEastAsia" w:hAnsiTheme="minorHAnsi"/>
      <w:kern w:val="2"/>
      <w:sz w:val="24"/>
      <w:szCs w:val="24"/>
      <w14:ligatures w14:val="standardContextual"/>
    </w:rPr>
  </w:style>
  <w:style w:type="paragraph" w:styleId="TOC9">
    <w:name w:val="toc 9"/>
    <w:basedOn w:val="Normal"/>
    <w:next w:val="Normal"/>
    <w:autoRedefine/>
    <w:uiPriority w:val="39"/>
    <w:unhideWhenUsed/>
    <w:rsid w:val="00A643C5"/>
    <w:pPr>
      <w:spacing w:after="100" w:line="278" w:lineRule="auto"/>
      <w:ind w:left="1920"/>
    </w:pPr>
    <w:rPr>
      <w:rFonts w:asciiTheme="minorHAnsi" w:eastAsiaTheme="minorEastAsia" w:hAnsiTheme="minorHAnsi"/>
      <w:kern w:val="2"/>
      <w:sz w:val="24"/>
      <w:szCs w:val="24"/>
      <w14:ligatures w14:val="standardContextual"/>
    </w:rPr>
  </w:style>
  <w:style w:type="paragraph" w:styleId="FootnoteText">
    <w:name w:val="footnote text"/>
    <w:basedOn w:val="Normal"/>
    <w:link w:val="FootnoteTextChar"/>
    <w:uiPriority w:val="99"/>
    <w:semiHidden/>
    <w:unhideWhenUsed/>
    <w:rsid w:val="00454E2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54E23"/>
    <w:rPr>
      <w:rFonts w:ascii="Avenir Next LT Pro" w:hAnsi="Avenir Next LT Pro"/>
      <w:sz w:val="20"/>
      <w:szCs w:val="20"/>
    </w:rPr>
  </w:style>
  <w:style w:type="character" w:styleId="FootnoteReference">
    <w:name w:val="footnote reference"/>
    <w:basedOn w:val="DefaultParagraphFont"/>
    <w:uiPriority w:val="99"/>
    <w:semiHidden/>
    <w:unhideWhenUsed/>
    <w:rsid w:val="00454E23"/>
    <w:rPr>
      <w:vertAlign w:val="superscript"/>
    </w:rPr>
  </w:style>
  <w:style w:type="paragraph" w:styleId="Title">
    <w:name w:val="Title"/>
    <w:basedOn w:val="Heading2"/>
    <w:next w:val="Normal"/>
    <w:link w:val="TitleChar"/>
    <w:uiPriority w:val="10"/>
    <w:qFormat/>
    <w:rsid w:val="00C00C73"/>
    <w:pPr>
      <w:spacing w:line="240" w:lineRule="auto"/>
    </w:pPr>
    <w:rPr>
      <w:sz w:val="64"/>
    </w:rPr>
  </w:style>
  <w:style w:type="character" w:customStyle="1" w:styleId="TitleChar">
    <w:name w:val="Title Char"/>
    <w:basedOn w:val="DefaultParagraphFont"/>
    <w:link w:val="Title"/>
    <w:uiPriority w:val="10"/>
    <w:rsid w:val="00C00C73"/>
    <w:rPr>
      <w:rFonts w:ascii="Diodrum Medium" w:eastAsiaTheme="majorEastAsia" w:hAnsi="Diodrum Medium" w:cstheme="majorBidi"/>
      <w:color w:val="002060"/>
      <w:sz w:val="6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875620">
      <w:bodyDiv w:val="1"/>
      <w:marLeft w:val="0"/>
      <w:marRight w:val="0"/>
      <w:marTop w:val="0"/>
      <w:marBottom w:val="0"/>
      <w:divBdr>
        <w:top w:val="none" w:sz="0" w:space="0" w:color="auto"/>
        <w:left w:val="none" w:sz="0" w:space="0" w:color="auto"/>
        <w:bottom w:val="none" w:sz="0" w:space="0" w:color="auto"/>
        <w:right w:val="none" w:sz="0" w:space="0" w:color="auto"/>
      </w:divBdr>
    </w:div>
    <w:div w:id="73381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BEPilots@ComE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342AA59E9994982321C490BDB1E91" ma:contentTypeVersion="12" ma:contentTypeDescription="Create a new document." ma:contentTypeScope="" ma:versionID="d051c2360a383f2113cac59846462283">
  <xsd:schema xmlns:xsd="http://www.w3.org/2001/XMLSchema" xmlns:xs="http://www.w3.org/2001/XMLSchema" xmlns:p="http://schemas.microsoft.com/office/2006/metadata/properties" xmlns:ns2="14aaba5a-d921-4fcd-ba01-fab861a60148" xmlns:ns3="19592644-6e45-4b68-af99-ee4e1679e8c0" targetNamespace="http://schemas.microsoft.com/office/2006/metadata/properties" ma:root="true" ma:fieldsID="760465de5e5461efada94840fdc0b53f" ns2:_="" ns3:_="">
    <xsd:import namespace="14aaba5a-d921-4fcd-ba01-fab861a60148"/>
    <xsd:import namespace="19592644-6e45-4b68-af99-ee4e1679e8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aaba5a-d921-4fcd-ba01-fab861a601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3cdb89d-011b-45c1-a758-c6448ee166b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592644-6e45-4b68-af99-ee4e1679e8c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6fb4cb3-9702-4592-859b-fd59c1856aef}" ma:internalName="TaxCatchAll" ma:showField="CatchAllData" ma:web="19592644-6e45-4b68-af99-ee4e1679e8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9592644-6e45-4b68-af99-ee4e1679e8c0" xsi:nil="true"/>
    <lcf76f155ced4ddcb4097134ff3c332f xmlns="14aaba5a-d921-4fcd-ba01-fab861a6014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4EF1FE-BC2D-4546-A84E-82E7F3AF9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aaba5a-d921-4fcd-ba01-fab861a60148"/>
    <ds:schemaRef ds:uri="19592644-6e45-4b68-af99-ee4e1679e8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F88909-4BE3-48EC-8F5D-AAC6E87EFD0A}">
  <ds:schemaRefs>
    <ds:schemaRef ds:uri="http://schemas.microsoft.com/office/2006/metadata/properties"/>
    <ds:schemaRef ds:uri="http://schemas.microsoft.com/office/infopath/2007/PartnerControls"/>
    <ds:schemaRef ds:uri="19592644-6e45-4b68-af99-ee4e1679e8c0"/>
    <ds:schemaRef ds:uri="14aaba5a-d921-4fcd-ba01-fab861a60148"/>
  </ds:schemaRefs>
</ds:datastoreItem>
</file>

<file path=customXml/itemProps3.xml><?xml version="1.0" encoding="utf-8"?>
<ds:datastoreItem xmlns:ds="http://schemas.openxmlformats.org/officeDocument/2006/customXml" ds:itemID="{3EFFDB96-7F16-458C-83D7-1238B401A9CC}">
  <ds:schemaRefs>
    <ds:schemaRef ds:uri="http://schemas.openxmlformats.org/officeDocument/2006/bibliography"/>
  </ds:schemaRefs>
</ds:datastoreItem>
</file>

<file path=customXml/itemProps4.xml><?xml version="1.0" encoding="utf-8"?>
<ds:datastoreItem xmlns:ds="http://schemas.openxmlformats.org/officeDocument/2006/customXml" ds:itemID="{FF3BAC20-92EB-4531-A877-458B51801246}">
  <ds:schemaRefs>
    <ds:schemaRef ds:uri="http://schemas.microsoft.com/sharepoint/v3/contenttype/forms"/>
  </ds:schemaRefs>
</ds:datastoreItem>
</file>

<file path=docMetadata/LabelInfo.xml><?xml version="1.0" encoding="utf-8"?>
<clbl:labelList xmlns:clbl="http://schemas.microsoft.com/office/2020/mipLabelMetadata">
  <clbl:label id="{9463b00b-fc6b-49d2-b7ee-f288ad2a03a1}" enabled="0" method="" siteId="{9463b00b-fc6b-49d2-b7ee-f288ad2a03a1}" removed="1"/>
</clbl:labelList>
</file>

<file path=docProps/app.xml><?xml version="1.0" encoding="utf-8"?>
<Properties xmlns="http://schemas.openxmlformats.org/officeDocument/2006/extended-properties" xmlns:vt="http://schemas.openxmlformats.org/officeDocument/2006/docPropsVTypes">
  <Template>Normal</Template>
  <TotalTime>37</TotalTime>
  <Pages>9</Pages>
  <Words>2661</Words>
  <Characters>17523</Characters>
  <Application>Microsoft Office Word</Application>
  <DocSecurity>0</DocSecurity>
  <Lines>281</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Caldwell</dc:creator>
  <cp:keywords/>
  <dc:description/>
  <cp:lastModifiedBy>Goldie Christensen</cp:lastModifiedBy>
  <cp:revision>26</cp:revision>
  <dcterms:created xsi:type="dcterms:W3CDTF">2026-04-10T20:24:00Z</dcterms:created>
  <dcterms:modified xsi:type="dcterms:W3CDTF">2026-04-10T21:03:00Z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0x010100BEC342AA59E9994982321C490BDB1E91</vt:lpwstr>
  </property>
  <property fmtid="{D5CDD505-2E9C-101B-9397-08002B2CF9AE}" pid="3" name="MSIP_Label_c968b3d1-e05f-4796-9c23-acaf26d588cb_Enabled">
    <vt:lpwstr>true</vt:lpwstr>
  </property>
  <property fmtid="{D5CDD505-2E9C-101B-9397-08002B2CF9AE}" pid="4" name="MSIP_Label_c968b3d1-e05f-4796-9c23-acaf26d588cb_SetDate">
    <vt:lpwstr>2022-06-20T16:52:13Z</vt:lpwstr>
  </property>
  <property fmtid="{D5CDD505-2E9C-101B-9397-08002B2CF9AE}" pid="5" name="MSIP_Label_c968b3d1-e05f-4796-9c23-acaf26d588cb_Method">
    <vt:lpwstr>Standard</vt:lpwstr>
  </property>
  <property fmtid="{D5CDD505-2E9C-101B-9397-08002B2CF9AE}" pid="6" name="MSIP_Label_c968b3d1-e05f-4796-9c23-acaf26d588cb_Name">
    <vt:lpwstr>Company Confidential Information</vt:lpwstr>
  </property>
  <property fmtid="{D5CDD505-2E9C-101B-9397-08002B2CF9AE}" pid="7" name="MSIP_Label_c968b3d1-e05f-4796-9c23-acaf26d588cb_SiteId">
    <vt:lpwstr>600d01fc-055f-49c6-868f-3ecfcc791773</vt:lpwstr>
  </property>
  <property fmtid="{D5CDD505-2E9C-101B-9397-08002B2CF9AE}" pid="8" name="MSIP_Label_c968b3d1-e05f-4796-9c23-acaf26d588cb_ActionId">
    <vt:lpwstr>396ff703-f0d2-4409-b5cf-d9e0a87e9817</vt:lpwstr>
  </property>
  <property fmtid="{D5CDD505-2E9C-101B-9397-08002B2CF9AE}" pid="9" name="MSIP_Label_c968b3d1-e05f-4796-9c23-acaf26d588cb_ContentBits">
    <vt:lpwstr>0</vt:lpwstr>
  </property>
  <property fmtid="{D5CDD505-2E9C-101B-9397-08002B2CF9AE}" pid="10" name="MediaServiceImageTags">
    <vt:lpwstr/>
  </property>
  <property fmtid="{D5CDD505-2E9C-101B-9397-08002B2CF9AE}" pid="11" name="GrammarlyDocumentId">
    <vt:lpwstr>78095235-f424-4913-8d0d-1ba84f6b872f</vt:lpwstr>
  </property>
  <property fmtid="{D5CDD505-2E9C-101B-9397-08002B2CF9AE}" pid="12" name="docLang">
    <vt:lpwstr>en</vt:lpwstr>
  </property>
</Properties>
</file>